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eastAsia" w:ascii="宋体" w:hAnsi="宋体" w:eastAsia="宋体" w:cs="宋体"/>
          <w:b/>
          <w:color w:val="auto"/>
          <w:kern w:val="0"/>
          <w:sz w:val="48"/>
          <w:szCs w:val="48"/>
          <w:highlight w:val="none"/>
        </w:rPr>
      </w:pPr>
    </w:p>
    <w:p>
      <w:pPr>
        <w:widowControl/>
        <w:shd w:val="clear" w:color="auto" w:fill="FFFFFF"/>
        <w:spacing w:line="360" w:lineRule="auto"/>
        <w:jc w:val="center"/>
        <w:rPr>
          <w:rFonts w:hint="eastAsia" w:ascii="宋体" w:hAnsi="宋体" w:eastAsia="宋体" w:cs="宋体"/>
          <w:b/>
          <w:color w:val="auto"/>
          <w:kern w:val="0"/>
          <w:sz w:val="48"/>
          <w:szCs w:val="48"/>
          <w:highlight w:val="none"/>
        </w:rPr>
      </w:pPr>
    </w:p>
    <w:p>
      <w:pPr>
        <w:widowControl/>
        <w:shd w:val="clear" w:color="auto" w:fill="FFFFFF"/>
        <w:spacing w:line="360" w:lineRule="auto"/>
        <w:rPr>
          <w:rFonts w:hint="eastAsia" w:ascii="宋体" w:hAnsi="宋体" w:eastAsia="宋体" w:cs="宋体"/>
          <w:b/>
          <w:color w:val="auto"/>
          <w:kern w:val="0"/>
          <w:sz w:val="48"/>
          <w:szCs w:val="48"/>
          <w:highlight w:val="none"/>
        </w:rPr>
      </w:pPr>
    </w:p>
    <w:p>
      <w:pPr>
        <w:widowControl/>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cs="宋体"/>
          <w:b/>
          <w:bCs/>
          <w:color w:val="auto"/>
          <w:sz w:val="48"/>
          <w:szCs w:val="48"/>
          <w:highlight w:val="none"/>
          <w:lang w:eastAsia="zh-CN"/>
        </w:rPr>
        <w:t>中国医学科学院皮肤病医院樟脑（天然）采购项目</w:t>
      </w:r>
    </w:p>
    <w:p>
      <w:pPr>
        <w:widowControl/>
        <w:spacing w:line="360" w:lineRule="auto"/>
        <w:jc w:val="center"/>
        <w:rPr>
          <w:rFonts w:hint="eastAsia" w:ascii="宋体" w:hAnsi="宋体" w:eastAsia="宋体" w:cs="宋体"/>
          <w:b/>
          <w:color w:val="auto"/>
          <w:kern w:val="0"/>
          <w:sz w:val="72"/>
          <w:szCs w:val="72"/>
          <w:highlight w:val="none"/>
        </w:rPr>
      </w:pPr>
    </w:p>
    <w:p>
      <w:pPr>
        <w:pStyle w:val="6"/>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招 标 文 件</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DL203224H32628</w:t>
      </w:r>
      <w:r>
        <w:rPr>
          <w:rFonts w:hint="eastAsia" w:ascii="宋体" w:hAnsi="宋体" w:eastAsia="宋体" w:cs="宋体"/>
          <w:b/>
          <w:color w:val="auto"/>
          <w:kern w:val="0"/>
          <w:sz w:val="36"/>
          <w:szCs w:val="36"/>
          <w:highlight w:val="none"/>
          <w:lang w:eastAsia="zh-CN"/>
        </w:rPr>
        <w:t xml:space="preserve"> </w:t>
      </w:r>
      <w:r>
        <w:rPr>
          <w:rFonts w:hint="eastAsia" w:ascii="宋体" w:hAnsi="宋体" w:eastAsia="宋体" w:cs="宋体"/>
          <w:b/>
          <w:color w:val="auto"/>
          <w:kern w:val="0"/>
          <w:sz w:val="36"/>
          <w:szCs w:val="36"/>
          <w:highlight w:val="none"/>
        </w:rPr>
        <w:t xml:space="preserve">  </w:t>
      </w:r>
    </w:p>
    <w:p>
      <w:pPr>
        <w:widowControl/>
        <w:spacing w:line="360" w:lineRule="auto"/>
        <w:jc w:val="center"/>
        <w:rPr>
          <w:rFonts w:hint="eastAsia" w:ascii="宋体" w:hAnsi="宋体" w:eastAsia="宋体" w:cs="宋体"/>
          <w:b/>
          <w:color w:val="auto"/>
          <w:kern w:val="0"/>
          <w:sz w:val="72"/>
          <w:szCs w:val="72"/>
          <w:highlight w:val="none"/>
        </w:rPr>
      </w:pPr>
    </w:p>
    <w:p>
      <w:pPr>
        <w:widowControl/>
        <w:shd w:val="clear" w:color="auto" w:fill="FFFFFF"/>
        <w:spacing w:line="360" w:lineRule="auto"/>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32"/>
          <w:szCs w:val="32"/>
          <w:highlight w:val="none"/>
        </w:rPr>
        <w:t>  </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江苏省设备成套股份有限公司</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cs="宋体"/>
          <w:b/>
          <w:color w:val="auto"/>
          <w:kern w:val="0"/>
          <w:sz w:val="36"/>
          <w:szCs w:val="36"/>
          <w:highlight w:val="none"/>
          <w:lang w:val="en-US" w:eastAsia="zh-CN"/>
        </w:rPr>
        <w:t>2025年07月</w:t>
      </w:r>
    </w:p>
    <w:p>
      <w:pPr>
        <w:pStyle w:val="156"/>
        <w:jc w:val="center"/>
        <w:rPr>
          <w:rFonts w:hint="eastAsia" w:ascii="宋体" w:hAnsi="宋体" w:eastAsia="宋体" w:cs="宋体"/>
          <w:color w:val="auto"/>
          <w:sz w:val="36"/>
          <w:szCs w:val="36"/>
          <w:highlight w:val="none"/>
          <w:lang w:val="zh-CN"/>
        </w:rPr>
        <w:sectPr>
          <w:headerReference r:id="rId4" w:type="first"/>
          <w:headerReference r:id="rId3" w:type="default"/>
          <w:footerReference r:id="rId5"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56"/>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  录</w:t>
      </w:r>
    </w:p>
    <w:p>
      <w:pPr>
        <w:pStyle w:val="32"/>
        <w:tabs>
          <w:tab w:val="right" w:leader="dot" w:pos="8296"/>
        </w:tabs>
        <w:rPr>
          <w:rFonts w:hint="eastAsia" w:ascii="宋体" w:hAnsi="宋体" w:eastAsia="宋体" w:cs="宋体"/>
          <w:color w:val="auto"/>
          <w:sz w:val="28"/>
          <w:szCs w:val="28"/>
          <w:highlight w:val="none"/>
        </w:rPr>
      </w:pP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_Toc11866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主要条款及格式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szCs w:val="24"/>
          <w:highlight w:val="none"/>
          <w:lang w:val="en-US" w:eastAsia="zh-CN"/>
        </w:rPr>
        <w:t>投标文件格式及</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pPr>
        <w:widowControl/>
        <w:shd w:val="clear" w:color="auto" w:fill="FFFFFF"/>
        <w:spacing w:line="360" w:lineRule="auto"/>
        <w:jc w:val="center"/>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kern w:val="0"/>
          <w:szCs w:val="21"/>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4"/>
        <w:rPr>
          <w:rFonts w:hint="eastAsia" w:ascii="宋体" w:hAnsi="宋体" w:eastAsia="宋体" w:cs="宋体"/>
          <w:color w:val="auto"/>
          <w:kern w:val="0"/>
          <w:szCs w:val="21"/>
          <w:highlight w:val="none"/>
        </w:rPr>
        <w:sectPr>
          <w:footerReference r:id="rId8" w:type="default"/>
          <w:type w:val="continuous"/>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Toc481057143"/>
    </w:p>
    <w:p>
      <w:pPr>
        <w:pStyle w:val="4"/>
        <w:numPr>
          <w:ilvl w:val="0"/>
          <w:numId w:val="0"/>
        </w:numPr>
        <w:ind w:leftChars="0"/>
        <w:rPr>
          <w:rFonts w:hint="eastAsia" w:ascii="宋体" w:hAnsi="宋体" w:eastAsia="宋体" w:cs="宋体"/>
          <w:color w:val="auto"/>
          <w:kern w:val="0"/>
          <w:szCs w:val="21"/>
          <w:highlight w:val="none"/>
        </w:rPr>
      </w:pPr>
      <w:r>
        <w:rPr>
          <w:rFonts w:hint="eastAsia" w:ascii="宋体" w:hAnsi="宋体" w:cs="宋体"/>
          <w:color w:val="auto"/>
          <w:kern w:val="0"/>
          <w:sz w:val="36"/>
          <w:szCs w:val="36"/>
          <w:highlight w:val="none"/>
          <w:shd w:val="clear" w:color="auto" w:fill="FFFFFF"/>
          <w:lang w:val="en-US" w:eastAsia="zh-CN"/>
        </w:rPr>
        <w:t>第一章</w:t>
      </w:r>
      <w:r>
        <w:rPr>
          <w:rFonts w:hint="eastAsia" w:ascii="宋体" w:hAnsi="宋体" w:eastAsia="宋体" w:cs="宋体"/>
          <w:color w:val="auto"/>
          <w:kern w:val="0"/>
          <w:sz w:val="36"/>
          <w:szCs w:val="36"/>
          <w:highlight w:val="none"/>
          <w:shd w:val="clear" w:color="auto" w:fill="FFFFFF"/>
        </w:rPr>
        <w:t xml:space="preserve"> </w:t>
      </w:r>
      <w:bookmarkStart w:id="1" w:name="_Toc30327"/>
      <w:bookmarkStart w:id="2" w:name="_Toc11866"/>
      <w:r>
        <w:rPr>
          <w:rFonts w:hint="eastAsia" w:ascii="宋体" w:hAnsi="宋体" w:eastAsia="宋体" w:cs="宋体"/>
          <w:color w:val="auto"/>
          <w:highlight w:val="none"/>
        </w:rPr>
        <w:t>招标公告</w:t>
      </w:r>
      <w:bookmarkEnd w:id="0"/>
      <w:bookmarkEnd w:id="1"/>
      <w:bookmarkEnd w:id="2"/>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highlight w:val="none"/>
        </w:rPr>
      </w:pPr>
      <w:r>
        <w:rPr>
          <w:rFonts w:hint="eastAsia" w:ascii="宋体" w:hAnsi="宋体" w:eastAsia="宋体" w:cs="宋体"/>
          <w:color w:val="auto"/>
          <w:spacing w:val="8"/>
          <w:kern w:val="0"/>
          <w:szCs w:val="21"/>
          <w:highlight w:val="none"/>
        </w:rPr>
        <w:t>项目概况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spacing w:val="8"/>
          <w:kern w:val="0"/>
          <w:szCs w:val="21"/>
          <w:highlight w:val="none"/>
        </w:rPr>
      </w:pPr>
      <w:r>
        <w:rPr>
          <w:rFonts w:hint="eastAsia" w:ascii="宋体" w:hAnsi="宋体" w:cs="宋体"/>
          <w:color w:val="auto"/>
          <w:spacing w:val="8"/>
          <w:kern w:val="0"/>
          <w:szCs w:val="21"/>
          <w:highlight w:val="none"/>
          <w:lang w:eastAsia="zh-CN"/>
        </w:rPr>
        <w:t>中国医学科学院皮肤病医院樟脑（天然）采购项目</w:t>
      </w:r>
      <w:r>
        <w:rPr>
          <w:rFonts w:hint="eastAsia" w:ascii="宋体" w:hAnsi="宋体" w:eastAsia="宋体" w:cs="宋体"/>
          <w:color w:val="auto"/>
          <w:spacing w:val="8"/>
          <w:kern w:val="0"/>
          <w:szCs w:val="21"/>
          <w:highlight w:val="none"/>
        </w:rPr>
        <w:t>的潜在供应商应在e交易平台http://www.ejy365.com/获取采购文件，并于</w:t>
      </w:r>
      <w:r>
        <w:rPr>
          <w:rFonts w:hint="eastAsia" w:ascii="宋体" w:hAnsi="宋体" w:cs="宋体"/>
          <w:color w:val="auto"/>
          <w:spacing w:val="8"/>
          <w:kern w:val="0"/>
          <w:szCs w:val="21"/>
          <w:highlight w:val="none"/>
          <w:lang w:eastAsia="zh-CN"/>
        </w:rPr>
        <w:t>2025年08月21日9点30分</w:t>
      </w:r>
      <w:r>
        <w:rPr>
          <w:rFonts w:hint="eastAsia" w:ascii="宋体" w:hAnsi="宋体" w:eastAsia="宋体" w:cs="宋体"/>
          <w:color w:val="auto"/>
          <w:spacing w:val="8"/>
          <w:kern w:val="0"/>
          <w:szCs w:val="21"/>
          <w:highlight w:val="none"/>
        </w:rPr>
        <w:t>（北京时间）前提交响应文件。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color w:val="auto"/>
          <w:spacing w:val="8"/>
          <w:kern w:val="0"/>
          <w:sz w:val="24"/>
          <w:highlight w:val="none"/>
        </w:rPr>
        <w:t> </w:t>
      </w:r>
      <w:r>
        <w:rPr>
          <w:rFonts w:hint="eastAsia" w:ascii="宋体" w:hAnsi="宋体" w:eastAsia="宋体" w:cs="宋体"/>
          <w:b/>
          <w:color w:val="auto"/>
          <w:spacing w:val="8"/>
          <w:kern w:val="0"/>
          <w:sz w:val="24"/>
          <w:highlight w:val="none"/>
        </w:rPr>
        <w:t>一、项目基本情况</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1.1项目编号：</w:t>
      </w:r>
      <w:r>
        <w:rPr>
          <w:rFonts w:hint="eastAsia" w:ascii="宋体" w:hAnsi="宋体" w:cs="宋体"/>
          <w:color w:val="auto"/>
          <w:spacing w:val="8"/>
          <w:kern w:val="0"/>
          <w:szCs w:val="21"/>
          <w:highlight w:val="none"/>
          <w:lang w:eastAsia="zh-CN"/>
        </w:rPr>
        <w:t>DL203224H32628</w:t>
      </w:r>
      <w:r>
        <w:rPr>
          <w:rFonts w:hint="eastAsia" w:ascii="宋体" w:hAnsi="宋体" w:eastAsia="宋体" w:cs="宋体"/>
          <w:color w:val="auto"/>
          <w:spacing w:val="8"/>
          <w:kern w:val="0"/>
          <w:szCs w:val="21"/>
          <w:highlight w:val="none"/>
          <w:lang w:eastAsia="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1.2项目名称：</w:t>
      </w:r>
      <w:r>
        <w:rPr>
          <w:rFonts w:hint="eastAsia" w:ascii="宋体" w:hAnsi="宋体" w:cs="宋体"/>
          <w:color w:val="auto"/>
          <w:spacing w:val="8"/>
          <w:kern w:val="0"/>
          <w:szCs w:val="21"/>
          <w:highlight w:val="none"/>
          <w:lang w:eastAsia="zh-CN"/>
        </w:rPr>
        <w:t>中国医学科学院皮肤病医院樟脑（天然）采购项目</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1.3预算金额：</w:t>
      </w:r>
      <w:r>
        <w:rPr>
          <w:rFonts w:hint="eastAsia" w:ascii="宋体" w:hAnsi="宋体" w:cs="宋体"/>
          <w:color w:val="auto"/>
          <w:spacing w:val="8"/>
          <w:kern w:val="0"/>
          <w:szCs w:val="21"/>
          <w:highlight w:val="none"/>
          <w:lang w:val="en-US" w:eastAsia="zh-CN"/>
        </w:rPr>
        <w:t>18</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1.4最高限价：</w:t>
      </w:r>
      <w:r>
        <w:rPr>
          <w:rFonts w:hint="eastAsia" w:ascii="宋体" w:hAnsi="宋体" w:cs="宋体"/>
          <w:color w:val="auto"/>
          <w:spacing w:val="8"/>
          <w:kern w:val="0"/>
          <w:szCs w:val="21"/>
          <w:highlight w:val="none"/>
          <w:lang w:val="en-US" w:eastAsia="zh-CN"/>
        </w:rPr>
        <w:t>18</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1.5采购需求：详见</w:t>
      </w:r>
      <w:r>
        <w:rPr>
          <w:rFonts w:hint="eastAsia" w:ascii="宋体" w:hAnsi="宋体" w:eastAsia="宋体" w:cs="宋体"/>
          <w:bCs/>
          <w:color w:val="auto"/>
          <w:szCs w:val="21"/>
          <w:highlight w:val="none"/>
        </w:rPr>
        <w:t>服务要求</w:t>
      </w:r>
      <w:r>
        <w:rPr>
          <w:rFonts w:hint="eastAsia" w:ascii="宋体" w:hAnsi="宋体" w:eastAsia="宋体" w:cs="宋体"/>
          <w:bCs/>
          <w:color w:val="auto"/>
          <w:szCs w:val="21"/>
          <w:highlight w:val="none"/>
          <w:lang w:eastAsia="zh-CN"/>
        </w:rPr>
        <w:t>。</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1.6合同履行期限：</w:t>
      </w:r>
      <w:r>
        <w:rPr>
          <w:rFonts w:hint="eastAsia" w:ascii="宋体" w:hAnsi="宋体" w:eastAsia="宋体" w:cs="宋体"/>
          <w:color w:val="auto"/>
          <w:spacing w:val="8"/>
          <w:kern w:val="0"/>
          <w:szCs w:val="21"/>
          <w:highlight w:val="none"/>
          <w:lang w:val="en-US" w:eastAsia="zh-CN"/>
        </w:rPr>
        <w:t>合同签订后</w:t>
      </w:r>
      <w:r>
        <w:rPr>
          <w:rFonts w:hint="eastAsia" w:ascii="宋体" w:hAnsi="宋体" w:cs="宋体"/>
          <w:color w:val="auto"/>
          <w:spacing w:val="8"/>
          <w:kern w:val="0"/>
          <w:szCs w:val="21"/>
          <w:highlight w:val="none"/>
          <w:lang w:val="en-US" w:eastAsia="zh-CN"/>
        </w:rPr>
        <w:t>按需</w:t>
      </w:r>
      <w:r>
        <w:rPr>
          <w:rFonts w:hint="eastAsia" w:ascii="宋体" w:hAnsi="宋体" w:eastAsia="宋体" w:cs="宋体"/>
          <w:color w:val="auto"/>
          <w:spacing w:val="8"/>
          <w:kern w:val="0"/>
          <w:szCs w:val="21"/>
          <w:highlight w:val="none"/>
          <w:lang w:val="en-US" w:eastAsia="zh-CN"/>
        </w:rPr>
        <w:t>供货。</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1.7行业划分：</w:t>
      </w:r>
      <w:r>
        <w:rPr>
          <w:rFonts w:hint="eastAsia" w:ascii="宋体" w:hAnsi="宋体" w:cs="宋体"/>
          <w:color w:val="auto"/>
          <w:spacing w:val="8"/>
          <w:kern w:val="0"/>
          <w:szCs w:val="21"/>
          <w:highlight w:val="none"/>
          <w:lang w:val="en-US" w:eastAsia="zh-CN"/>
        </w:rPr>
        <w:t>工业</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1.8本项目非专门面向中小企业（或监狱企业或残疾人福利性单位）采购。</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w:t>
      </w:r>
      <w:r>
        <w:rPr>
          <w:rFonts w:hint="eastAsia" w:ascii="宋体" w:hAnsi="宋体" w:eastAsia="宋体" w:cs="宋体"/>
          <w:color w:val="auto"/>
          <w:spacing w:val="8"/>
          <w:kern w:val="0"/>
          <w:szCs w:val="21"/>
          <w:highlight w:val="none"/>
          <w:lang w:val="en-US" w:eastAsia="zh-CN"/>
        </w:rPr>
        <w:t>9</w:t>
      </w:r>
      <w:r>
        <w:rPr>
          <w:rFonts w:hint="eastAsia" w:ascii="宋体" w:hAnsi="宋体" w:eastAsia="宋体" w:cs="宋体"/>
          <w:color w:val="auto"/>
          <w:spacing w:val="8"/>
          <w:kern w:val="0"/>
          <w:szCs w:val="21"/>
          <w:highlight w:val="none"/>
        </w:rPr>
        <w:t>本项目</w:t>
      </w:r>
      <w:r>
        <w:rPr>
          <w:rFonts w:hint="eastAsia" w:ascii="宋体" w:hAnsi="宋体" w:eastAsia="宋体" w:cs="宋体"/>
          <w:color w:val="auto"/>
          <w:spacing w:val="8"/>
          <w:kern w:val="0"/>
          <w:szCs w:val="21"/>
          <w:highlight w:val="none"/>
          <w:lang w:val="en-US" w:eastAsia="zh-CN"/>
        </w:rPr>
        <w:t>不</w:t>
      </w:r>
      <w:r>
        <w:rPr>
          <w:rFonts w:hint="eastAsia" w:ascii="宋体" w:hAnsi="宋体" w:eastAsia="宋体" w:cs="宋体"/>
          <w:color w:val="auto"/>
          <w:spacing w:val="8"/>
          <w:kern w:val="0"/>
          <w:szCs w:val="21"/>
          <w:highlight w:val="none"/>
        </w:rPr>
        <w:t>接受联合体投标。</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3" w:name="_Toc18369"/>
      <w:r>
        <w:rPr>
          <w:rFonts w:hint="eastAsia" w:ascii="宋体" w:hAnsi="宋体" w:eastAsia="宋体" w:cs="宋体"/>
          <w:b/>
          <w:color w:val="auto"/>
          <w:spacing w:val="8"/>
          <w:kern w:val="0"/>
          <w:sz w:val="24"/>
          <w:highlight w:val="none"/>
        </w:rPr>
        <w:t>二、申请人的资格要求</w:t>
      </w:r>
      <w:bookmarkEnd w:id="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rPr>
      </w:pPr>
      <w:r>
        <w:rPr>
          <w:rFonts w:hint="eastAsia" w:ascii="宋体" w:hAnsi="宋体" w:eastAsia="宋体" w:cs="宋体"/>
          <w:b/>
          <w:color w:val="auto"/>
          <w:spacing w:val="8"/>
          <w:kern w:val="0"/>
          <w:szCs w:val="21"/>
          <w:highlight w:val="none"/>
        </w:rPr>
        <w:t>2.1满足《中华人民共和国政府采购法》第二十二条规定；</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（1）具有独立承担民事责任的能力（提供法人或者其他组织的营业执照；供应商为自然人的，提供其身份证）；</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r>
        <w:rPr>
          <w:rFonts w:hint="eastAsia" w:ascii="宋体" w:hAnsi="宋体" w:cs="宋体"/>
          <w:bCs/>
          <w:szCs w:val="21"/>
          <w:highlight w:val="none"/>
          <w:lang w:eastAsia="zh-CN"/>
        </w:rPr>
        <w:t>提供2023年度经审计</w:t>
      </w:r>
      <w:r>
        <w:rPr>
          <w:rFonts w:hint="eastAsia" w:ascii="宋体" w:hAnsi="宋体" w:eastAsia="宋体" w:cs="宋体"/>
          <w:highlight w:val="none"/>
        </w:rPr>
        <w:t>的财</w:t>
      </w:r>
      <w:r>
        <w:rPr>
          <w:rFonts w:hint="eastAsia" w:ascii="宋体" w:hAnsi="宋体" w:eastAsia="宋体" w:cs="宋体"/>
          <w:bCs/>
          <w:szCs w:val="21"/>
          <w:highlight w:val="none"/>
        </w:rPr>
        <w:t>务报告，或截止时间前六个月内银行出具的资信证明）；</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（4）有依法缴纳税收和社会保障资金的良好记录（提供参加本次政府采购活动前半年内至少一个月缴纳增值税，或营业税，或企业所得税的凭据；并提供缴纳社会保险的凭据）；</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（5）参加政府采购活动前三年内，在经营活动中没有重大违法记录（提供承诺书）；</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（6）法律、行政法规规定的其他条件：无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lang w:val="en-US" w:eastAsia="zh-CN"/>
        </w:rPr>
      </w:pPr>
      <w:r>
        <w:rPr>
          <w:rFonts w:hint="eastAsia" w:ascii="宋体" w:hAnsi="宋体" w:eastAsia="宋体" w:cs="宋体"/>
          <w:b/>
          <w:color w:val="auto"/>
          <w:spacing w:val="8"/>
          <w:kern w:val="0"/>
          <w:szCs w:val="21"/>
          <w:highlight w:val="none"/>
        </w:rPr>
        <w:t>2.2落实政府采购政策需满足的资格要求：</w:t>
      </w:r>
      <w:r>
        <w:rPr>
          <w:rFonts w:hint="eastAsia" w:ascii="宋体" w:hAnsi="宋体" w:eastAsia="宋体" w:cs="宋体"/>
          <w:b/>
          <w:color w:val="auto"/>
          <w:spacing w:val="8"/>
          <w:kern w:val="0"/>
          <w:szCs w:val="21"/>
          <w:highlight w:val="none"/>
          <w:lang w:val="en-US" w:eastAsia="zh-CN"/>
        </w:rPr>
        <w:t>本项目不专门面向中小微企业，执行价格扣除优惠政策，对小微企业报价给予10%的扣除。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u w:val="single"/>
        </w:rPr>
      </w:pPr>
      <w:r>
        <w:rPr>
          <w:rFonts w:hint="eastAsia" w:ascii="宋体" w:hAnsi="宋体" w:eastAsia="宋体" w:cs="宋体"/>
          <w:b/>
          <w:color w:val="auto"/>
          <w:spacing w:val="8"/>
          <w:kern w:val="0"/>
          <w:szCs w:val="21"/>
          <w:highlight w:val="none"/>
          <w:lang w:val="en-US" w:eastAsia="zh-CN"/>
        </w:rPr>
        <w:t>供应商如为中小微企业需提供《中小微企业声明函》。监狱和戒毒企业视同小型、微型企业，提供由省级以上监狱管理局、戒毒管理局(含新疆生产建设兵团)出具的属于监狱企业的证明文件；残疾人福利性单位视同小型、微型企业，提供《残疾人福利性单位声明函》原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rPr>
      </w:pPr>
      <w:r>
        <w:rPr>
          <w:rFonts w:hint="eastAsia" w:ascii="宋体" w:hAnsi="宋体" w:eastAsia="宋体" w:cs="宋体"/>
          <w:b/>
          <w:color w:val="auto"/>
          <w:spacing w:val="8"/>
          <w:kern w:val="0"/>
          <w:szCs w:val="21"/>
          <w:highlight w:val="none"/>
        </w:rPr>
        <w:t>2.3</w:t>
      </w:r>
      <w:r>
        <w:rPr>
          <w:rFonts w:hint="eastAsia" w:ascii="宋体" w:hAnsi="宋体" w:eastAsia="宋体" w:cs="宋体"/>
          <w:b/>
          <w:color w:val="auto"/>
          <w:szCs w:val="21"/>
          <w:highlight w:val="none"/>
        </w:rPr>
        <w:t>采购人根据采购项目的特殊要求规定的特定条件，并提供符合特殊要求的证明材料或者情况说明：</w:t>
      </w:r>
    </w:p>
    <w:p>
      <w:pPr>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供应商所投产品需在国家药品监督管理局药品审评中心与制剂共同审评审批结果为A（须提供相关证明材料并加盖公章）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(2)供应商为药品经营企业的，须具备有效的《药品经营许可证》(提供证书复印件并加盖公章)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highlight w:val="none"/>
          <w:lang w:val="en-US" w:eastAsia="zh-CN"/>
        </w:rPr>
      </w:pPr>
      <w:r>
        <w:rPr>
          <w:rFonts w:hint="eastAsia" w:ascii="宋体" w:hAnsi="宋体" w:eastAsia="宋体" w:cs="宋体"/>
          <w:b/>
          <w:color w:val="auto"/>
          <w:szCs w:val="21"/>
          <w:highlight w:val="none"/>
          <w:lang w:val="en-US" w:eastAsia="zh-CN"/>
        </w:rPr>
        <w:t>(3)供应商为药品生产企业的，须具备有效的《药品生产许可证》(提供证书复印件并加盖公章)</w:t>
      </w:r>
    </w:p>
    <w:p>
      <w:pPr>
        <w:keepNext w:val="0"/>
        <w:keepLines w:val="0"/>
        <w:pageBreakBefore w:val="0"/>
        <w:kinsoku/>
        <w:wordWrap/>
        <w:overflowPunct/>
        <w:topLinePunct w:val="0"/>
        <w:autoSpaceDE/>
        <w:autoSpaceDN/>
        <w:bidi w:val="0"/>
        <w:adjustRightInd/>
        <w:snapToGrid/>
        <w:spacing w:line="460" w:lineRule="exact"/>
        <w:ind w:firstLine="456" w:firstLineChars="202"/>
        <w:rPr>
          <w:rFonts w:hint="eastAsia" w:ascii="宋体" w:hAnsi="宋体" w:eastAsia="宋体" w:cs="宋体"/>
          <w:bCs/>
          <w:color w:val="auto"/>
          <w:szCs w:val="21"/>
          <w:highlight w:val="none"/>
        </w:rPr>
      </w:pPr>
      <w:r>
        <w:rPr>
          <w:rFonts w:hint="eastAsia" w:ascii="宋体" w:hAnsi="宋体" w:eastAsia="宋体" w:cs="宋体"/>
          <w:color w:val="auto"/>
          <w:spacing w:val="8"/>
          <w:kern w:val="0"/>
          <w:szCs w:val="21"/>
          <w:highlight w:val="none"/>
        </w:rPr>
        <w:t>2.4</w:t>
      </w:r>
      <w:r>
        <w:rPr>
          <w:rFonts w:hint="eastAsia" w:ascii="宋体" w:hAnsi="宋体" w:eastAsia="宋体" w:cs="宋体"/>
          <w:bCs/>
          <w:color w:val="auto"/>
          <w:szCs w:val="21"/>
          <w:highlight w:val="none"/>
        </w:rPr>
        <w:t>第2.1（5）条所称重大违法记录，是指供应商因违法经营受到刑事处罚或者责令停产停业、吊销许可证或者执照、较大数额罚款等行政处罚。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供应商在参加政府采购活动前3年内因违法经营被禁止在一定期限内参加政府采购活动，期限届满的，可以参加政府采购活动。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拒绝列入失信被执行人、重大税收违法案件当事人名单、政府采购严重违法失信行为记录名单</w:t>
      </w:r>
      <w:r>
        <w:rPr>
          <w:rFonts w:hint="eastAsia" w:ascii="宋体" w:hAnsi="宋体" w:eastAsia="宋体" w:cs="宋体"/>
          <w:i w:val="0"/>
          <w:caps w:val="0"/>
          <w:color w:val="auto"/>
          <w:spacing w:val="0"/>
          <w:sz w:val="21"/>
          <w:szCs w:val="21"/>
          <w:highlight w:val="none"/>
          <w:shd w:val="clear" w:fill="FFFFFF"/>
        </w:rPr>
        <w:t>及其他不符合《中华人民共和国政府采购法》第二十二条规定条件的供应商</w:t>
      </w:r>
      <w:r>
        <w:rPr>
          <w:rFonts w:hint="eastAsia" w:ascii="宋体" w:hAnsi="宋体" w:eastAsia="宋体" w:cs="宋体"/>
          <w:bCs/>
          <w:color w:val="auto"/>
          <w:szCs w:val="21"/>
          <w:highlight w:val="none"/>
        </w:rPr>
        <w:t>参与政府采购活动。采购人或者采购代理机构</w:t>
      </w:r>
      <w:r>
        <w:rPr>
          <w:rFonts w:hint="eastAsia" w:ascii="宋体" w:hAnsi="宋体" w:eastAsia="宋体" w:cs="宋体"/>
          <w:bCs/>
          <w:color w:val="auto"/>
          <w:szCs w:val="21"/>
          <w:highlight w:val="none"/>
          <w:lang w:val="en-US" w:eastAsia="zh-CN"/>
        </w:rPr>
        <w:t>在进行资格审查的同时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依法</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中国政府采购网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信用中国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网站等渠道查询投标人信用记录并保存。</w:t>
      </w:r>
    </w:p>
    <w:p>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宋体" w:hAnsi="宋体" w:eastAsia="宋体" w:cs="宋体"/>
          <w:bCs/>
          <w:color w:val="auto"/>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4" w:name="_Toc8001"/>
      <w:r>
        <w:rPr>
          <w:rFonts w:hint="eastAsia" w:ascii="宋体" w:hAnsi="宋体" w:eastAsia="宋体" w:cs="宋体"/>
          <w:b/>
          <w:color w:val="auto"/>
          <w:spacing w:val="8"/>
          <w:kern w:val="0"/>
          <w:sz w:val="24"/>
          <w:highlight w:val="none"/>
        </w:rPr>
        <w:t>三、获取招标文件</w:t>
      </w:r>
      <w:bookmarkEnd w:id="4"/>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3.1</w:t>
      </w:r>
      <w:r>
        <w:rPr>
          <w:rFonts w:hint="eastAsia" w:ascii="宋体" w:hAnsi="宋体" w:eastAsia="宋体" w:cs="宋体"/>
          <w:b/>
          <w:bCs/>
          <w:color w:val="auto"/>
          <w:spacing w:val="8"/>
          <w:kern w:val="0"/>
          <w:szCs w:val="21"/>
          <w:highlight w:val="none"/>
        </w:rPr>
        <w:t>时间：</w:t>
      </w:r>
      <w:r>
        <w:rPr>
          <w:rFonts w:hint="eastAsia" w:ascii="宋体" w:hAnsi="宋体" w:eastAsia="宋体" w:cs="宋体"/>
          <w:color w:val="auto"/>
          <w:spacing w:val="8"/>
          <w:kern w:val="0"/>
          <w:szCs w:val="21"/>
          <w:highlight w:val="none"/>
          <w:lang w:eastAsia="zh-CN"/>
        </w:rPr>
        <w:t> </w:t>
      </w:r>
      <w:r>
        <w:rPr>
          <w:rFonts w:hint="eastAsia" w:ascii="宋体" w:hAnsi="宋体" w:cs="宋体"/>
          <w:color w:val="auto"/>
          <w:spacing w:val="8"/>
          <w:kern w:val="0"/>
          <w:szCs w:val="21"/>
          <w:highlight w:val="none"/>
          <w:lang w:eastAsia="zh-CN"/>
        </w:rPr>
        <w:t>2025年07月29日</w:t>
      </w:r>
      <w:r>
        <w:rPr>
          <w:rFonts w:hint="eastAsia" w:ascii="宋体" w:hAnsi="宋体" w:cs="宋体"/>
          <w:color w:val="auto"/>
          <w:spacing w:val="8"/>
          <w:kern w:val="0"/>
          <w:szCs w:val="21"/>
          <w:highlight w:val="none"/>
          <w:lang w:val="en-US" w:eastAsia="zh-CN"/>
        </w:rPr>
        <w:t>17</w:t>
      </w:r>
      <w:r>
        <w:rPr>
          <w:rFonts w:hint="eastAsia" w:ascii="宋体" w:hAnsi="宋体" w:cs="宋体"/>
          <w:color w:val="auto"/>
          <w:spacing w:val="8"/>
          <w:kern w:val="0"/>
          <w:szCs w:val="21"/>
          <w:highlight w:val="none"/>
          <w:lang w:eastAsia="zh-CN"/>
        </w:rPr>
        <w:t>时30分至2025年08月05日17时30分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方式：</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（1）凡有意参加供应商，请于</w:t>
      </w:r>
      <w:r>
        <w:rPr>
          <w:rFonts w:hint="eastAsia" w:ascii="宋体" w:hAnsi="宋体" w:cs="宋体"/>
          <w:color w:val="auto"/>
          <w:spacing w:val="8"/>
          <w:kern w:val="0"/>
          <w:szCs w:val="21"/>
          <w:highlight w:val="none"/>
          <w:lang w:eastAsia="zh-CN"/>
        </w:rPr>
        <w:t>2025年07月29日17时30分至2025年08月05日17时30分</w:t>
      </w:r>
      <w:r>
        <w:rPr>
          <w:rFonts w:hint="eastAsia" w:ascii="宋体" w:hAnsi="宋体" w:eastAsia="宋体" w:cs="宋体"/>
          <w:color w:val="auto"/>
          <w:spacing w:val="8"/>
          <w:kern w:val="0"/>
          <w:szCs w:val="21"/>
          <w:highlight w:val="none"/>
        </w:rPr>
        <w:t>(北京时间，下同)，登录e交易平台下载电子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。下载者应充分考虑平台注册、信息检查、资料上传、下载确认、费用支付所需时间，下载者必须在前述时间段内完成支付，否则将无法保证获取电子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e交易平台（以下简称平台）网址为：http://www.ejy365.com/。下载者首次登录平台前，须前往平台免费注册，平台将对下载者注册信息与其提供扫描件信息进行一致性检查。注册为一次性工作，以后若有需要可变更及完善相关信息；注册成功后，可以及时参与平台上所有发布的采购项目。</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（3）下载者应充分考虑平台注册、信息检查、资料上传、购标确认所需时间，下载者必须在获取时间内完成获取</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。未按照本公告要求获得本项目</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的，招标代理机构不予接收其应答文件。</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（4）平台网站首页“帮助中心”提供操作手册，下载者可以下载并根据操作手册提示进行注册、登录等操作。易交易平台技术支持联系方式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供应商技术支持热线：400-828-0799（工作时间：9:00-11:30,13:30-19:00）</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供应商项目参与操作说明：</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https://www.ejy365.com/upload/link/2022/08/30/48e1dd12-5050-4bbf-bfc9-a0d7a037ba1c.pdf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技术支持服务态度不满意投诉热线：400-828-0799转0。</w:t>
      </w:r>
    </w:p>
    <w:p>
      <w:pPr>
        <w:widowControl/>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（5）联合体投标（如允许）的，联合体各方应当指定牵头人，并授权其以自身名义在平台办理注册、下载文件等手续，其在平台的办理行为，对联合体各方均具有约束力。</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5" w:name="_Toc32020"/>
      <w:r>
        <w:rPr>
          <w:rFonts w:hint="eastAsia" w:ascii="宋体" w:hAnsi="宋体" w:eastAsia="宋体" w:cs="宋体"/>
          <w:b/>
          <w:color w:val="auto"/>
          <w:spacing w:val="8"/>
          <w:kern w:val="0"/>
          <w:sz w:val="24"/>
          <w:highlight w:val="none"/>
        </w:rPr>
        <w:t>四、提交投标文件截止时间、开标时间和地点</w:t>
      </w:r>
      <w:bookmarkEnd w:id="5"/>
    </w:p>
    <w:p>
      <w:pPr>
        <w:widowControl/>
        <w:shd w:val="clear" w:color="auto" w:fill="FFFFFF" w:themeFill="background1"/>
        <w:spacing w:line="46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w:t>
      </w:r>
      <w:r>
        <w:rPr>
          <w:rFonts w:hint="eastAsia" w:ascii="宋体" w:hAnsi="宋体" w:eastAsia="宋体" w:cs="宋体"/>
          <w:b w:val="0"/>
          <w:bCs/>
          <w:color w:val="auto"/>
          <w:spacing w:val="8"/>
          <w:kern w:val="0"/>
          <w:sz w:val="24"/>
          <w:highlight w:val="none"/>
        </w:rPr>
        <w:t>投标文件截止时间</w:t>
      </w:r>
      <w:r>
        <w:rPr>
          <w:rFonts w:hint="eastAsia" w:ascii="宋体" w:hAnsi="宋体" w:eastAsia="宋体" w:cs="宋体"/>
          <w:b w:val="0"/>
          <w:bCs/>
          <w:color w:val="auto"/>
          <w:spacing w:val="8"/>
          <w:kern w:val="0"/>
          <w:sz w:val="24"/>
          <w:highlight w:val="none"/>
          <w:lang w:eastAsia="zh-CN"/>
        </w:rPr>
        <w:t>：</w:t>
      </w:r>
      <w:r>
        <w:rPr>
          <w:rFonts w:hint="eastAsia" w:ascii="宋体" w:hAnsi="宋体" w:cs="宋体"/>
          <w:color w:val="auto"/>
          <w:szCs w:val="21"/>
          <w:highlight w:val="none"/>
          <w:lang w:val="en-US" w:eastAsia="zh-CN"/>
        </w:rPr>
        <w:t>2025年08月21日9点30分</w:t>
      </w:r>
      <w:r>
        <w:rPr>
          <w:rFonts w:hint="eastAsia" w:ascii="宋体" w:hAnsi="宋体" w:eastAsia="宋体" w:cs="宋体"/>
          <w:color w:val="auto"/>
          <w:szCs w:val="21"/>
          <w:highlight w:val="none"/>
        </w:rPr>
        <w:t>（北京时间）</w:t>
      </w:r>
    </w:p>
    <w:p>
      <w:pPr>
        <w:widowControl/>
        <w:shd w:val="clear" w:color="auto" w:fill="FFFFFF" w:themeFill="background1"/>
        <w:spacing w:line="460" w:lineRule="exact"/>
        <w:ind w:firstLine="36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提交投标文件</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及开标地点</w:t>
      </w:r>
      <w:r>
        <w:rPr>
          <w:rFonts w:hint="eastAsia" w:ascii="宋体" w:hAnsi="宋体" w:eastAsia="宋体" w:cs="宋体"/>
          <w:color w:val="auto"/>
          <w:szCs w:val="21"/>
          <w:highlight w:val="none"/>
        </w:rPr>
        <w:t>：南京市鼓楼区清江南路18号鼓楼创新广场D栋11楼</w:t>
      </w:r>
      <w:r>
        <w:rPr>
          <w:rFonts w:hint="eastAsia" w:ascii="宋体" w:hAnsi="宋体" w:cs="宋体"/>
          <w:color w:val="auto"/>
          <w:szCs w:val="21"/>
          <w:highlight w:val="none"/>
          <w:lang w:eastAsia="zh-CN"/>
        </w:rPr>
        <w:t>开标2室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因</w:t>
      </w:r>
      <w:r>
        <w:rPr>
          <w:rFonts w:hint="eastAsia" w:ascii="宋体" w:hAnsi="宋体" w:eastAsia="宋体" w:cs="宋体"/>
          <w:b/>
          <w:bCs/>
          <w:color w:val="auto"/>
          <w:szCs w:val="21"/>
          <w:highlight w:val="none"/>
        </w:rPr>
        <w:t>故</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出席开标会的，视同同意本项目开标结果。</w:t>
      </w:r>
    </w:p>
    <w:p>
      <w:pPr>
        <w:keepNext w:val="0"/>
        <w:keepLines w:val="0"/>
        <w:pageBreakBefore w:val="0"/>
        <w:widowControl/>
        <w:kinsoku/>
        <w:wordWrap/>
        <w:overflowPunct/>
        <w:topLinePunct w:val="0"/>
        <w:autoSpaceDE/>
        <w:autoSpaceDN/>
        <w:bidi w:val="0"/>
        <w:adjustRightInd/>
        <w:snapToGrid/>
        <w:spacing w:line="460" w:lineRule="exact"/>
        <w:ind w:firstLine="370"/>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4.3</w:t>
      </w:r>
      <w:r>
        <w:rPr>
          <w:rFonts w:hint="eastAsia" w:ascii="宋体" w:hAnsi="宋体" w:eastAsia="宋体" w:cs="宋体"/>
          <w:b/>
          <w:bCs/>
          <w:color w:val="auto"/>
          <w:szCs w:val="21"/>
          <w:highlight w:val="none"/>
        </w:rPr>
        <w:t>投标人应提供投标文件一式</w:t>
      </w:r>
      <w:r>
        <w:rPr>
          <w:rFonts w:hint="eastAsia" w:ascii="宋体" w:hAnsi="宋体" w:eastAsia="宋体" w:cs="宋体"/>
          <w:b/>
          <w:bCs/>
          <w:color w:val="auto"/>
          <w:szCs w:val="21"/>
          <w:highlight w:val="none"/>
          <w:lang w:val="en-US" w:eastAsia="zh-CN"/>
        </w:rPr>
        <w:t>伍</w:t>
      </w:r>
      <w:r>
        <w:rPr>
          <w:rFonts w:hint="eastAsia" w:ascii="宋体" w:hAnsi="宋体" w:eastAsia="宋体" w:cs="宋体"/>
          <w:b/>
          <w:bCs/>
          <w:color w:val="auto"/>
          <w:szCs w:val="21"/>
          <w:highlight w:val="none"/>
        </w:rPr>
        <w:t>份（正本壹份、副本</w:t>
      </w:r>
      <w:r>
        <w:rPr>
          <w:rFonts w:hint="eastAsia" w:ascii="宋体" w:hAnsi="宋体" w:eastAsia="宋体" w:cs="宋体"/>
          <w:b/>
          <w:bCs/>
          <w:color w:val="auto"/>
          <w:szCs w:val="21"/>
          <w:highlight w:val="none"/>
          <w:lang w:val="en-US" w:eastAsia="zh-CN"/>
        </w:rPr>
        <w:t>肆</w:t>
      </w:r>
      <w:r>
        <w:rPr>
          <w:rFonts w:hint="eastAsia" w:ascii="宋体" w:hAnsi="宋体" w:eastAsia="宋体" w:cs="宋体"/>
          <w:b/>
          <w:bCs/>
          <w:color w:val="auto"/>
          <w:szCs w:val="21"/>
          <w:highlight w:val="none"/>
        </w:rPr>
        <w:t>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当电子版文件和纸质正本文件不一致时，以纸质正本文件为准。电子版文件用于辅助评标和平台存档，投标人需承担前述不一致造成的不利后果。</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6" w:name="_Toc9042"/>
      <w:r>
        <w:rPr>
          <w:rFonts w:hint="eastAsia" w:ascii="宋体" w:hAnsi="宋体" w:eastAsia="宋体" w:cs="宋体"/>
          <w:b/>
          <w:color w:val="auto"/>
          <w:spacing w:val="8"/>
          <w:kern w:val="0"/>
          <w:sz w:val="24"/>
          <w:highlight w:val="none"/>
        </w:rPr>
        <w:t>五、公告期限</w:t>
      </w:r>
      <w:bookmarkEnd w:id="6"/>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自本公告发布之日起5个工作日。</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7" w:name="_Toc27495"/>
      <w:r>
        <w:rPr>
          <w:rFonts w:hint="eastAsia" w:ascii="宋体" w:hAnsi="宋体" w:eastAsia="宋体" w:cs="宋体"/>
          <w:b/>
          <w:color w:val="auto"/>
          <w:spacing w:val="8"/>
          <w:kern w:val="0"/>
          <w:sz w:val="24"/>
          <w:highlight w:val="none"/>
        </w:rPr>
        <w:t>六、其他补充事宜</w:t>
      </w:r>
      <w:bookmarkEnd w:id="7"/>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zh-CN"/>
        </w:rPr>
      </w:pPr>
      <w:bookmarkStart w:id="8" w:name="_Toc13548"/>
      <w:r>
        <w:rPr>
          <w:rFonts w:hint="eastAsia" w:ascii="宋体" w:hAnsi="宋体" w:eastAsia="宋体" w:cs="宋体"/>
          <w:color w:val="auto"/>
          <w:szCs w:val="21"/>
          <w:highlight w:val="none"/>
          <w:lang w:val="zh-CN"/>
        </w:rPr>
        <w:t>6.1本项目在</w:t>
      </w:r>
      <w:r>
        <w:rPr>
          <w:rFonts w:hint="eastAsia" w:ascii="宋体" w:hAnsi="宋体" w:cs="宋体"/>
          <w:b/>
          <w:bCs/>
          <w:color w:val="auto"/>
          <w:szCs w:val="21"/>
          <w:highlight w:val="none"/>
          <w:lang w:val="en-US" w:eastAsia="zh-CN"/>
        </w:rPr>
        <w:t>中国医学科学院皮肤病医院官网发布公告</w:t>
      </w:r>
      <w:r>
        <w:rPr>
          <w:rFonts w:hint="eastAsia" w:ascii="宋体" w:hAnsi="宋体" w:eastAsia="宋体" w:cs="宋体"/>
          <w:color w:val="auto"/>
          <w:szCs w:val="21"/>
          <w:highlight w:val="none"/>
          <w:lang w:val="zh-CN"/>
        </w:rPr>
        <w:t>。</w:t>
      </w:r>
      <w:bookmarkEnd w:id="8"/>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en-US" w:eastAsia="zh-CN"/>
        </w:rPr>
      </w:pPr>
      <w:bookmarkStart w:id="9" w:name="_Toc15491"/>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en-US" w:eastAsia="zh-CN"/>
        </w:rPr>
        <w:t>2投标人应当从采购代理机构合法获得招标项目的招标文件。</w:t>
      </w:r>
      <w:bookmarkEnd w:id="9"/>
      <w:bookmarkStart w:id="10" w:name="_Toc2380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勘察现场：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无</w:t>
      </w:r>
      <w:r>
        <w:rPr>
          <w:rFonts w:hint="eastAsia" w:ascii="宋体" w:hAnsi="宋体" w:eastAsia="宋体" w:cs="宋体"/>
          <w:bCs/>
          <w:color w:val="auto"/>
          <w:szCs w:val="21"/>
          <w:highlight w:val="none"/>
          <w:lang w:eastAsia="zh-CN"/>
        </w:rPr>
        <w:t>）</w:t>
      </w:r>
      <w:bookmarkEnd w:id="10"/>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b/>
          <w:color w:val="auto"/>
          <w:spacing w:val="8"/>
          <w:kern w:val="0"/>
          <w:sz w:val="24"/>
          <w:highlight w:val="none"/>
        </w:rPr>
        <w:t>七、对本次招标提出询问，请按以下方式联系</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7.1采购人信息</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名 称：中国医学科学院皮肤病医院</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地址：南京市太平门外蒋王庙街1</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号</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lang w:val="en-US" w:eastAsia="zh-CN"/>
        </w:rPr>
        <w:t>联系电话：025-85478922</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1" w:name="_Toc104307929"/>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rPr>
        <w:t>.2采购代理机构信息</w:t>
      </w:r>
      <w:bookmarkEnd w:id="11"/>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2" w:name="_Toc104307930"/>
      <w:r>
        <w:rPr>
          <w:rFonts w:hint="eastAsia" w:ascii="宋体" w:hAnsi="宋体" w:eastAsia="宋体" w:cs="宋体"/>
          <w:color w:val="auto"/>
          <w:spacing w:val="8"/>
          <w:kern w:val="0"/>
          <w:szCs w:val="21"/>
          <w:highlight w:val="none"/>
          <w:lang w:val="zh-CN"/>
        </w:rPr>
        <w:t>名 称：江苏省设备成套股份有限公司</w:t>
      </w:r>
      <w:bookmarkEnd w:id="12"/>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3" w:name="_Toc104307931"/>
      <w:r>
        <w:rPr>
          <w:rFonts w:hint="eastAsia" w:ascii="宋体" w:hAnsi="宋体" w:eastAsia="宋体" w:cs="宋体"/>
          <w:color w:val="auto"/>
          <w:spacing w:val="8"/>
          <w:kern w:val="0"/>
          <w:szCs w:val="21"/>
          <w:highlight w:val="none"/>
          <w:lang w:val="zh-CN"/>
        </w:rPr>
        <w:t>地　址：</w:t>
      </w:r>
      <w:r>
        <w:rPr>
          <w:rFonts w:hint="eastAsia" w:ascii="宋体" w:hAnsi="宋体" w:eastAsia="宋体" w:cs="宋体"/>
          <w:color w:val="auto"/>
          <w:spacing w:val="8"/>
          <w:kern w:val="0"/>
          <w:szCs w:val="21"/>
          <w:highlight w:val="none"/>
        </w:rPr>
        <w:t>南京市鼓楼区清江南路18号鼓楼创新广场D座10楼1006室</w:t>
      </w:r>
      <w:bookmarkEnd w:id="1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4" w:name="_Toc104307932"/>
      <w:r>
        <w:rPr>
          <w:rFonts w:hint="eastAsia" w:ascii="宋体" w:hAnsi="宋体" w:eastAsia="宋体" w:cs="宋体"/>
          <w:color w:val="auto"/>
          <w:spacing w:val="8"/>
          <w:kern w:val="0"/>
          <w:szCs w:val="21"/>
          <w:highlight w:val="none"/>
          <w:lang w:val="zh-CN"/>
        </w:rPr>
        <w:t>联系方式：</w:t>
      </w:r>
      <w:bookmarkEnd w:id="14"/>
      <w:r>
        <w:rPr>
          <w:rFonts w:hint="eastAsia" w:ascii="宋体" w:hAnsi="宋体" w:eastAsia="宋体" w:cs="宋体"/>
          <w:color w:val="auto"/>
          <w:spacing w:val="8"/>
          <w:kern w:val="0"/>
          <w:szCs w:val="21"/>
          <w:highlight w:val="none"/>
          <w:lang w:val="en-US" w:eastAsia="zh-CN"/>
        </w:rPr>
        <w:t>13913894080</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5" w:name="_Toc104307933"/>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eastAsia="zh-CN"/>
        </w:rPr>
        <w:t>.3</w:t>
      </w:r>
      <w:r>
        <w:rPr>
          <w:rFonts w:hint="eastAsia" w:ascii="宋体" w:hAnsi="宋体" w:eastAsia="宋体" w:cs="宋体"/>
          <w:color w:val="auto"/>
          <w:spacing w:val="8"/>
          <w:kern w:val="0"/>
          <w:szCs w:val="21"/>
          <w:highlight w:val="none"/>
          <w:lang w:val="zh-CN"/>
        </w:rPr>
        <w:t>项目联系方式</w:t>
      </w:r>
      <w:bookmarkEnd w:id="1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6" w:name="_Toc104307934"/>
      <w:r>
        <w:rPr>
          <w:rFonts w:hint="eastAsia" w:ascii="宋体" w:hAnsi="宋体" w:eastAsia="宋体" w:cs="宋体"/>
          <w:color w:val="auto"/>
          <w:spacing w:val="8"/>
          <w:kern w:val="0"/>
          <w:szCs w:val="21"/>
          <w:highlight w:val="none"/>
          <w:lang w:val="zh-CN"/>
        </w:rPr>
        <w:t>项目联系人</w:t>
      </w:r>
      <w:bookmarkEnd w:id="16"/>
      <w:r>
        <w:rPr>
          <w:rFonts w:hint="eastAsia" w:ascii="宋体" w:hAnsi="宋体" w:eastAsia="宋体" w:cs="宋体"/>
          <w:color w:val="auto"/>
          <w:spacing w:val="8"/>
          <w:kern w:val="0"/>
          <w:szCs w:val="21"/>
          <w:highlight w:val="none"/>
          <w:lang w:val="zh-CN"/>
        </w:rPr>
        <w:t>：</w:t>
      </w:r>
      <w:r>
        <w:rPr>
          <w:rFonts w:hint="eastAsia" w:ascii="宋体" w:hAnsi="宋体" w:eastAsia="宋体" w:cs="宋体"/>
          <w:color w:val="auto"/>
          <w:spacing w:val="8"/>
          <w:kern w:val="0"/>
          <w:szCs w:val="21"/>
          <w:highlight w:val="none"/>
          <w:lang w:val="en-US" w:eastAsia="zh-CN"/>
        </w:rPr>
        <w:t>陶冬雨</w:t>
      </w:r>
      <w:r>
        <w:rPr>
          <w:rFonts w:hint="eastAsia" w:ascii="宋体" w:hAnsi="宋体" w:eastAsia="宋体" w:cs="宋体"/>
          <w:color w:val="auto"/>
          <w:spacing w:val="8"/>
          <w:kern w:val="0"/>
          <w:szCs w:val="21"/>
          <w:highlight w:val="none"/>
          <w:lang w:val="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bookmarkStart w:id="17" w:name="_Toc104307935"/>
      <w:r>
        <w:rPr>
          <w:rFonts w:hint="eastAsia" w:ascii="宋体" w:hAnsi="宋体" w:eastAsia="宋体" w:cs="宋体"/>
          <w:color w:val="auto"/>
          <w:spacing w:val="8"/>
          <w:kern w:val="0"/>
          <w:szCs w:val="21"/>
          <w:highlight w:val="none"/>
          <w:lang w:val="zh-CN"/>
        </w:rPr>
        <w:t>电　话：</w:t>
      </w:r>
      <w:bookmarkEnd w:id="17"/>
      <w:r>
        <w:rPr>
          <w:rFonts w:hint="eastAsia" w:ascii="宋体" w:hAnsi="宋体" w:eastAsia="宋体" w:cs="宋体"/>
          <w:color w:val="auto"/>
          <w:spacing w:val="8"/>
          <w:kern w:val="0"/>
          <w:szCs w:val="21"/>
          <w:highlight w:val="none"/>
          <w:lang w:val="en-US" w:eastAsia="zh-CN"/>
        </w:rPr>
        <w:t>13913894080</w:t>
      </w:r>
    </w:p>
    <w:p>
      <w:pPr>
        <w:pStyle w:val="5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eastAsia="宋体" w:cs="宋体"/>
          <w:color w:val="auto"/>
          <w:spacing w:val="8"/>
          <w:kern w:val="0"/>
          <w:szCs w:val="20"/>
          <w:highlight w:val="none"/>
        </w:rPr>
        <w:t>采购代理机构：江苏省设备成套股份有限公司</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cs="宋体"/>
          <w:color w:val="auto"/>
          <w:spacing w:val="8"/>
          <w:kern w:val="0"/>
          <w:szCs w:val="20"/>
          <w:highlight w:val="none"/>
          <w:lang w:val="en-US" w:eastAsia="zh-CN"/>
        </w:rPr>
        <w:t>2025年07月29日</w:t>
      </w:r>
    </w:p>
    <w:p>
      <w:pPr>
        <w:pStyle w:val="55"/>
        <w:rPr>
          <w:rFonts w:hint="eastAsia" w:ascii="宋体" w:hAnsi="宋体" w:eastAsia="宋体" w:cs="宋体"/>
          <w:color w:val="auto"/>
          <w:spacing w:val="8"/>
          <w:kern w:val="0"/>
          <w:szCs w:val="21"/>
          <w:highlight w:val="none"/>
        </w:rPr>
      </w:pPr>
    </w:p>
    <w:p>
      <w:pPr>
        <w:rPr>
          <w:rFonts w:hint="eastAsia" w:ascii="宋体" w:hAnsi="宋体" w:eastAsia="宋体" w:cs="宋体"/>
          <w:color w:val="auto"/>
          <w:highlight w:val="none"/>
        </w:rPr>
      </w:pPr>
      <w:bookmarkStart w:id="18" w:name="_Toc7593"/>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highlight w:val="none"/>
        </w:rPr>
      </w:pPr>
      <w:bookmarkStart w:id="19" w:name="_Toc27326"/>
      <w:r>
        <w:rPr>
          <w:rFonts w:hint="eastAsia" w:ascii="宋体" w:hAnsi="宋体" w:eastAsia="宋体" w:cs="宋体"/>
          <w:color w:val="auto"/>
          <w:highlight w:val="none"/>
        </w:rPr>
        <w:t>第二章</w:t>
      </w:r>
      <w:bookmarkStart w:id="20" w:name="_Toc452625218"/>
      <w:r>
        <w:rPr>
          <w:rFonts w:hint="eastAsia" w:ascii="宋体" w:hAnsi="宋体" w:eastAsia="宋体" w:cs="宋体"/>
          <w:color w:val="auto"/>
          <w:highlight w:val="none"/>
        </w:rPr>
        <w:t xml:space="preserve"> 投标人须知</w:t>
      </w:r>
      <w:bookmarkEnd w:id="18"/>
      <w:bookmarkEnd w:id="19"/>
      <w:bookmarkEnd w:id="20"/>
    </w:p>
    <w:p>
      <w:pPr>
        <w:widowControl/>
        <w:shd w:val="clear" w:color="auto" w:fill="FFFFFF"/>
        <w:spacing w:line="360" w:lineRule="auto"/>
        <w:ind w:firstLine="424" w:firstLineChars="20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一、总 则</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1、适用法律</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是指依法进行政府采购的国家机关、事业单位、团体组织。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投标人（供应商）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是指参加投标竞争，并符合招标文件规定资格条件的法人、</w:t>
      </w:r>
      <w:r>
        <w:rPr>
          <w:rFonts w:hint="eastAsia" w:ascii="宋体" w:hAnsi="宋体" w:eastAsia="宋体" w:cs="宋体"/>
          <w:color w:val="auto"/>
          <w:kern w:val="0"/>
          <w:szCs w:val="21"/>
          <w:highlight w:val="none"/>
          <w:lang w:val="en-US"/>
        </w:rPr>
        <w:t>其他</w:t>
      </w:r>
      <w:r>
        <w:rPr>
          <w:rFonts w:hint="eastAsia" w:ascii="宋体" w:hAnsi="宋体" w:eastAsia="宋体" w:cs="宋体"/>
          <w:color w:val="auto"/>
          <w:kern w:val="0"/>
          <w:szCs w:val="21"/>
          <w:highlight w:val="none"/>
        </w:rPr>
        <w:t>组织或者自然人。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是指集中采购机构和集中采购机构以外的采购代理机构，集中采购机构以外的采购代理机构，是从事采购代理业务的社会中介机构。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货物和服务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指本招标文件中所述</w:t>
      </w:r>
      <w:r>
        <w:rPr>
          <w:rFonts w:hint="eastAsia" w:ascii="宋体" w:hAnsi="宋体" w:eastAsia="宋体" w:cs="宋体"/>
          <w:bCs/>
          <w:color w:val="auto"/>
          <w:kern w:val="0"/>
          <w:szCs w:val="21"/>
          <w:highlight w:val="none"/>
        </w:rPr>
        <w:t>产品</w:t>
      </w:r>
      <w:r>
        <w:rPr>
          <w:rFonts w:hint="eastAsia" w:ascii="宋体" w:hAnsi="宋体" w:eastAsia="宋体" w:cs="宋体"/>
          <w:color w:val="auto"/>
          <w:kern w:val="0"/>
          <w:szCs w:val="21"/>
          <w:highlight w:val="none"/>
        </w:rPr>
        <w:t>及相关服务。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用户或使用单位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是指使用货物，接受服务的单位。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3、政策功能</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宋体" w:hAnsi="宋体" w:eastAsia="宋体" w:cs="宋体"/>
          <w:color w:val="auto"/>
          <w:kern w:val="0"/>
          <w:szCs w:val="21"/>
          <w:highlight w:val="none"/>
          <w:lang w:val="en-US" w:eastAsia="zh-CN"/>
        </w:rPr>
        <w:t>第六章</w:t>
      </w:r>
      <w:r>
        <w:rPr>
          <w:rFonts w:hint="eastAsia" w:ascii="宋体" w:hAnsi="宋体" w:eastAsia="宋体" w:cs="宋体"/>
          <w:color w:val="auto"/>
          <w:kern w:val="0"/>
          <w:szCs w:val="21"/>
          <w:highlight w:val="none"/>
        </w:rPr>
        <w:t>），否则不得享受相关中小企业扶持政策。（“中小企业划型标准”详见《关于印发中小企业划型标准规定的通知》工信部联企业〔2011〕300号及《国家统计局关于印发&lt;统计上大中小微型企业划分办法（2017）&gt;的通知》国统2017〕213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3.6进口产品政策</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（2）允许进口产品参加的，满足需求的国内产品可以参加。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3.7未按要求提供相关材料的，不享受相关政策。</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二、招标文件构成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4、招标文件组成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招标的最小单位是</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。招标货物数量及技术要求中未分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的，投标人对要求提供的货物和服务不得部分投标；招标货物数量及技术要求中已经分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的，可以以</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为单位投标。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4.3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如果要求投标人按照招标文件规定提交备选投标方案的，投标人可以提交备选方案；否则，备选方案将被拒绝。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4.4招标文件中要求的产品品牌或型号，是</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根据项目所要实现的功能推荐的品牌或型号，仅供投标人参考，并不是限制条件。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5、招标文件的澄清或者修改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5.2</w:t>
      </w:r>
      <w:r>
        <w:rPr>
          <w:rFonts w:hint="eastAsia" w:ascii="宋体" w:hAnsi="宋体" w:eastAsia="宋体" w:cs="宋体"/>
          <w:color w:val="auto"/>
          <w:kern w:val="0"/>
          <w:szCs w:val="21"/>
          <w:highlight w:val="none"/>
        </w:rPr>
        <w:t>澄清或者修改的内容可能影响投标文件编制的，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应当在投标截止时间至少15日前，以书面形式通知所有获取招标文件的潜在投标人；不足15日的，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应当顺延提交投标文件的截止时间。</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三、投标文件的编制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6、投标文件的语言、计量单位、货币和编制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6.1投标人提交的投标文件、技术文件和资料，包括图纸中的说明，以及投标人与</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6.2投标人所使用的计量单位应为国家法定计量单位。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6.3投标人应用人民币报价。投标产品如果是进口产品的，应提供人民币与</w:t>
      </w:r>
      <w:r>
        <w:rPr>
          <w:rFonts w:hint="eastAsia" w:ascii="宋体" w:hAnsi="宋体" w:eastAsia="宋体" w:cs="宋体"/>
          <w:b/>
          <w:bCs/>
          <w:color w:val="auto"/>
          <w:kern w:val="0"/>
          <w:szCs w:val="21"/>
          <w:highlight w:val="none"/>
        </w:rPr>
        <w:t>外币之间的汇率。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6.4投标文件应按照招标文件规定的顺序打印、装订成册并编制目录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编排混乱导致投标文件被误读或查找不到，责任由投标人承担。</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6.5投标人应在投标文件中写清相应的项目编号、项目名称、投标人全称、地址、电话、传真等。</w:t>
      </w:r>
    </w:p>
    <w:p>
      <w:pPr>
        <w:widowControl/>
        <w:shd w:val="clear" w:color="auto" w:fill="FFFFFF"/>
        <w:spacing w:line="360" w:lineRule="auto"/>
        <w:ind w:firstLine="412"/>
        <w:rPr>
          <w:rFonts w:hint="eastAsia"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6.6</w:t>
      </w:r>
      <w:r>
        <w:rPr>
          <w:rFonts w:hint="eastAsia" w:ascii="宋体" w:hAnsi="宋体" w:eastAsia="宋体" w:cs="宋体"/>
          <w:color w:val="auto"/>
          <w:kern w:val="0"/>
          <w:szCs w:val="21"/>
          <w:highlight w:val="none"/>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7、联合体投标</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 两个以上的自然人、法人或者其他组织可以组成一个联合体，以一个投标人的身份共同参加政府采购。</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 联合体中有同类资质的投标人按照联合体分工承担相同工作的，按照资质等级较低的投标人确定资质等级。</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 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7.4 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8、投标文件的组成</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8.1投标人应当根据招标文件要求编制投标文件，投标文件应对招标文件提出的要求和条件作出实质性响应，并在《</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条款偏离表》和《</w:t>
      </w:r>
      <w:r>
        <w:rPr>
          <w:rFonts w:hint="eastAsia" w:ascii="宋体" w:hAnsi="宋体" w:eastAsia="宋体" w:cs="宋体"/>
          <w:color w:val="auto"/>
          <w:kern w:val="0"/>
          <w:szCs w:val="21"/>
          <w:highlight w:val="none"/>
          <w:lang w:eastAsia="zh-CN"/>
        </w:rPr>
        <w:t>采购需求偏离表</w:t>
      </w:r>
      <w:r>
        <w:rPr>
          <w:rFonts w:hint="eastAsia" w:ascii="宋体" w:hAnsi="宋体" w:eastAsia="宋体" w:cs="宋体"/>
          <w:color w:val="auto"/>
          <w:kern w:val="0"/>
          <w:szCs w:val="21"/>
          <w:highlight w:val="none"/>
        </w:rPr>
        <w:t>》等处逐条标明满足与否。</w:t>
      </w:r>
      <w:r>
        <w:rPr>
          <w:rFonts w:hint="eastAsia" w:ascii="宋体" w:hAnsi="宋体" w:eastAsia="宋体" w:cs="宋体"/>
          <w:b/>
          <w:color w:val="auto"/>
          <w:kern w:val="0"/>
          <w:szCs w:val="21"/>
          <w:highlight w:val="none"/>
        </w:rPr>
        <w:t>对带</w:t>
      </w:r>
      <w:r>
        <w:rPr>
          <w:rFonts w:hint="eastAsia" w:ascii="宋体" w:hAnsi="宋体" w:eastAsia="宋体" w:cs="宋体"/>
          <w:b/>
          <w:bCs/>
          <w:color w:val="auto"/>
          <w:kern w:val="0"/>
          <w:szCs w:val="21"/>
          <w:highlight w:val="none"/>
        </w:rPr>
        <w:t>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”）的技术条款必须在投标文件中提供技术支持资料（如白皮书、彩页、手册、检测报告等），未提供技术支持资料的，视为未对招标文件实质性要求作出响应，评审时不予认可。</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8.2 投标文件由商务、技术、价格以及其他部分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组成。</w:t>
      </w:r>
      <w:r>
        <w:rPr>
          <w:rFonts w:hint="eastAsia" w:ascii="宋体" w:hAnsi="宋体" w:eastAsia="宋体" w:cs="宋体"/>
          <w:color w:val="auto"/>
          <w:kern w:val="0"/>
          <w:szCs w:val="21"/>
          <w:highlight w:val="none"/>
          <w:lang w:val="en-US" w:eastAsia="zh-CN"/>
        </w:rPr>
        <w:t>投标文件</w:t>
      </w:r>
      <w:r>
        <w:rPr>
          <w:rFonts w:hint="eastAsia" w:ascii="宋体" w:hAnsi="宋体" w:eastAsia="宋体" w:cs="宋体"/>
          <w:color w:val="auto"/>
          <w:kern w:val="0"/>
          <w:szCs w:val="21"/>
          <w:highlight w:val="none"/>
        </w:rPr>
        <w:t>目录及有关格式按</w:t>
      </w:r>
      <w:r>
        <w:rPr>
          <w:rFonts w:hint="eastAsia" w:ascii="宋体" w:hAnsi="宋体" w:eastAsia="宋体" w:cs="宋体"/>
          <w:color w:val="auto"/>
          <w:kern w:val="0"/>
          <w:szCs w:val="21"/>
          <w:highlight w:val="none"/>
          <w:lang w:val="en-US" w:eastAsia="zh-CN"/>
        </w:rPr>
        <w:t>招标文件“第六章 投标文件格式及</w:t>
      </w: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编制。</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9、投标文件</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9.1商务部分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是证明投标人有资格参加投标和中标后有能力履行合同的文件，这些文件应能满足招标的要求，包括但不限于下列文件：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（1）投标函（投标申请及声明）</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法定代表人授权书</w:t>
      </w:r>
      <w:r>
        <w:rPr>
          <w:rFonts w:hint="eastAsia" w:ascii="宋体" w:hAnsi="宋体" w:eastAsia="宋体" w:cs="宋体"/>
          <w:color w:val="auto"/>
          <w:kern w:val="0"/>
          <w:szCs w:val="21"/>
          <w:highlight w:val="none"/>
        </w:rPr>
        <w:t>及委托代理人的身份证明文件的复印件</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（3）投标人资格资信证明文件：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2.1《中华人民共和国政府采购法》规定的资格条件证明文件；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2.2</w:t>
      </w:r>
      <w:r>
        <w:rPr>
          <w:rFonts w:hint="eastAsia" w:ascii="宋体" w:hAnsi="宋体" w:eastAsia="宋体" w:cs="宋体"/>
          <w:color w:val="auto"/>
          <w:spacing w:val="8"/>
          <w:kern w:val="0"/>
          <w:szCs w:val="21"/>
          <w:highlight w:val="none"/>
        </w:rPr>
        <w:t>落实政府采购政策需满足的资格要求；</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2.3 采购人根据采购项目的特殊要求规定的特定条件证明文件。</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2"/>
          <w:sz w:val="21"/>
          <w:szCs w:val="21"/>
          <w:highlight w:val="none"/>
          <w:lang w:val="en-US" w:eastAsia="zh-CN" w:bidi="ar-SA"/>
        </w:rPr>
        <w:t>（4）开标一览表及附表</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p>
    <w:p>
      <w:pPr>
        <w:widowControl/>
        <w:shd w:val="clear" w:color="auto" w:fill="FFFFFF"/>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（5）投标人缴纳投标保证金凭证（如果有）；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）第三章评标标准中对应的所需证明材料（如有自行添加）；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）要求采购人提供的配合（如有自拟并自行添加）；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）其它（投标人认为有必要提供的声明和文件，如有，自行拟定并添加）。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10、投标文件的技术</w:t>
      </w:r>
      <w:r>
        <w:rPr>
          <w:rFonts w:hint="eastAsia" w:ascii="宋体" w:hAnsi="宋体" w:eastAsia="宋体" w:cs="宋体"/>
          <w:b/>
          <w:bCs/>
          <w:color w:val="auto"/>
          <w:kern w:val="0"/>
          <w:szCs w:val="21"/>
          <w:highlight w:val="none"/>
          <w:lang w:val="en-US" w:eastAsia="zh-CN"/>
        </w:rPr>
        <w:t>内容</w:t>
      </w:r>
    </w:p>
    <w:p>
      <w:pPr>
        <w:widowControl/>
        <w:adjustRightIn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szCs w:val="21"/>
          <w:highlight w:val="none"/>
          <w:lang w:val="zh-CN"/>
        </w:rPr>
        <w:t>是证明</w:t>
      </w:r>
      <w:r>
        <w:rPr>
          <w:rFonts w:hint="eastAsia" w:ascii="宋体" w:hAnsi="宋体" w:eastAsia="宋体" w:cs="宋体"/>
          <w:color w:val="auto"/>
          <w:szCs w:val="21"/>
          <w:highlight w:val="none"/>
        </w:rPr>
        <w:t>投标人提供的货物和服务是合格的、并符合招标文件要求的证明文件，以及</w:t>
      </w:r>
      <w:r>
        <w:rPr>
          <w:rFonts w:hint="eastAsia" w:ascii="宋体" w:hAnsi="宋体" w:eastAsia="宋体" w:cs="宋体"/>
          <w:color w:val="auto"/>
          <w:szCs w:val="21"/>
          <w:highlight w:val="none"/>
          <w:lang w:val="zh-CN"/>
        </w:rPr>
        <w:t>对货物和服务的详细说明</w:t>
      </w:r>
      <w:r>
        <w:rPr>
          <w:rFonts w:hint="eastAsia" w:ascii="宋体" w:hAnsi="宋体" w:eastAsia="宋体" w:cs="宋体"/>
          <w:color w:val="auto"/>
          <w:kern w:val="0"/>
          <w:szCs w:val="21"/>
          <w:highlight w:val="none"/>
          <w:lang w:val="zh-CN"/>
        </w:rPr>
        <w:t>，这些文件可以是文字资料、图纸、数据</w:t>
      </w:r>
      <w:r>
        <w:rPr>
          <w:rFonts w:hint="eastAsia" w:ascii="宋体" w:hAnsi="宋体" w:eastAsia="宋体" w:cs="宋体"/>
          <w:color w:val="auto"/>
          <w:kern w:val="0"/>
          <w:szCs w:val="21"/>
          <w:highlight w:val="none"/>
          <w:lang w:val="en-US" w:eastAsia="zh-CN"/>
        </w:rPr>
        <w:t>或其他证明文件</w:t>
      </w:r>
      <w:r>
        <w:rPr>
          <w:rFonts w:hint="eastAsia" w:ascii="宋体" w:hAnsi="宋体" w:eastAsia="宋体" w:cs="宋体"/>
          <w:color w:val="auto"/>
          <w:kern w:val="0"/>
          <w:szCs w:val="21"/>
          <w:highlight w:val="none"/>
          <w:lang w:val="zh-CN"/>
        </w:rPr>
        <w:t>等。</w:t>
      </w:r>
      <w:r>
        <w:rPr>
          <w:rFonts w:hint="eastAsia" w:ascii="宋体" w:hAnsi="宋体" w:eastAsia="宋体" w:cs="宋体"/>
          <w:color w:val="auto"/>
          <w:szCs w:val="21"/>
          <w:highlight w:val="none"/>
          <w:lang w:val="zh-CN"/>
        </w:rPr>
        <w:t>提供的货物和服务如与招标文件要求有不符之处，应说明其差别之所在。包括但不限于下列文件：</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（1）技术说明或服务方案；</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（2）《采购需求偏离表》；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（3）服务承诺；</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（4）投标人拟投入本项目的设备、人员情况一览表；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（5）投标人认为需要提供的其他技术资料。</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11、投标文件的价格</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11.1价格部分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是对采购标的价格构成的说明，招标文件如无特别说明，每一项货物及服务仅接受一个价格。</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11.2报价应</w:t>
      </w:r>
      <w:r>
        <w:rPr>
          <w:rFonts w:hint="eastAsia" w:ascii="宋体" w:hAnsi="宋体" w:eastAsia="宋体" w:cs="宋体"/>
          <w:color w:val="auto"/>
          <w:kern w:val="0"/>
          <w:szCs w:val="21"/>
          <w:highlight w:val="none"/>
          <w:lang w:val="en-US" w:eastAsia="zh-CN"/>
        </w:rPr>
        <w:t>包含为履行本项目合同项下所有义务的全部含税</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sz w:val="21"/>
          <w:szCs w:val="21"/>
          <w:highlight w:val="none"/>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rPr>
        <w:t>，</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11.3投标人的任何错漏、优惠、竞争性报价不得作为减轻责任、减少服务、增加收费、降低质量的理由。</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无效投标处理</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投标人应在《开标一览表》《分项报价</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rPr>
        <w:t>》等标明投标货物和服务的单价、总价以及分项报价</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11.6 《开标一览表》一式两份，一份装订在投标文件中，一份单独封装，并标明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字样，随投标文件一并递交，以便唱标时使用。</w:t>
      </w:r>
      <w:r>
        <w:rPr>
          <w:rFonts w:hint="eastAsia" w:ascii="宋体" w:hAnsi="宋体" w:eastAsia="宋体" w:cs="宋体"/>
          <w:b/>
          <w:bCs/>
          <w:color w:val="auto"/>
          <w:kern w:val="0"/>
          <w:szCs w:val="21"/>
          <w:highlight w:val="none"/>
          <w:lang w:val="en-US" w:eastAsia="zh-CN"/>
        </w:rPr>
        <w:t>如两份开标一览表中的投标报价不一致，视为提交备选投标报价，作无效投标处理。</w:t>
      </w:r>
    </w:p>
    <w:p>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11.7本项目预算为：详见第一章</w:t>
      </w:r>
      <w:r>
        <w:rPr>
          <w:rFonts w:hint="eastAsia" w:ascii="宋体" w:hAnsi="宋体" w:eastAsia="宋体" w:cs="宋体"/>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12、投标文件的其他部分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其他部分由投标人根据编制投标文件需要提供的其他相关文件组成。</w:t>
      </w:r>
    </w:p>
    <w:p>
      <w:pPr>
        <w:widowControl/>
        <w:shd w:val="clear" w:color="auto" w:fill="FFFFFF"/>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13、投标保证金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本项目不需要缴纳投标保证金</w:t>
      </w:r>
      <w:r>
        <w:rPr>
          <w:rFonts w:hint="eastAsia" w:ascii="宋体" w:hAnsi="宋体" w:eastAsia="宋体" w:cs="宋体"/>
          <w:b/>
          <w:bCs/>
          <w:color w:val="auto"/>
          <w:kern w:val="0"/>
          <w:szCs w:val="21"/>
          <w:highlight w:val="none"/>
          <w:lang w:eastAsia="zh-CN"/>
        </w:rPr>
        <w:t>）</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14、投标有效期</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自开标之日起</w:t>
      </w:r>
      <w:r>
        <w:rPr>
          <w:rFonts w:hint="eastAsia" w:ascii="宋体" w:hAnsi="宋体" w:eastAsia="宋体" w:cs="宋体"/>
          <w:b/>
          <w:color w:val="auto"/>
          <w:kern w:val="0"/>
          <w:szCs w:val="21"/>
          <w:highlight w:val="none"/>
        </w:rPr>
        <w:t>90</w:t>
      </w:r>
      <w:r>
        <w:rPr>
          <w:rFonts w:hint="eastAsia" w:ascii="宋体" w:hAnsi="宋体" w:eastAsia="宋体" w:cs="宋体"/>
          <w:color w:val="auto"/>
          <w:kern w:val="0"/>
          <w:szCs w:val="21"/>
          <w:highlight w:val="none"/>
        </w:rPr>
        <w:t>天内投标有效</w:t>
      </w:r>
      <w:r>
        <w:rPr>
          <w:rFonts w:hint="eastAsia" w:ascii="宋体" w:hAnsi="宋体" w:eastAsia="宋体" w:cs="宋体"/>
          <w:b/>
          <w:color w:val="auto"/>
          <w:highlight w:val="none"/>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14.2 特殊情况下，在原投标有效期截止之前，</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可要求投标人同意延长投标有效期，这种要求与答复均应以书面形式提交。投标人可拒绝这种要求</w:t>
      </w:r>
      <w:r>
        <w:rPr>
          <w:rFonts w:hint="eastAsia" w:ascii="宋体" w:hAnsi="宋体" w:eastAsia="宋体" w:cs="宋体"/>
          <w:color w:val="auto"/>
          <w:kern w:val="0"/>
          <w:szCs w:val="21"/>
          <w:highlight w:val="none"/>
          <w:lang w:eastAsia="zh-CN"/>
        </w:rPr>
        <w:t>，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15、投标文件签署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投标文件的正本和副本均应由投标人法定代表人或经正式授权并对投标人有约束力的委托代理人签字，如果它们之间内容有差异，则以正本为准。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16、投标费用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投标人应承担所有与准备和参加投标有关的费用，无论招标结果如何，</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在任何情况下均无义务和责任承担这些费用。</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16.2 招标代理服务费：本次招标，中标人参照《招标代理服务费管理暂行办法》（国家发展计划委员会计价格【2002】1980号）代理</w:t>
      </w:r>
      <w:r>
        <w:rPr>
          <w:rFonts w:hint="eastAsia" w:ascii="宋体" w:hAnsi="宋体" w:eastAsia="宋体" w:cs="宋体"/>
          <w:b/>
          <w:color w:val="auto"/>
          <w:kern w:val="0"/>
          <w:szCs w:val="21"/>
          <w:highlight w:val="none"/>
          <w:u w:val="single"/>
          <w:lang w:val="en-US" w:eastAsia="zh-CN"/>
        </w:rPr>
        <w:t>服务</w:t>
      </w:r>
      <w:r>
        <w:rPr>
          <w:rFonts w:hint="eastAsia" w:ascii="宋体" w:hAnsi="宋体" w:eastAsia="宋体" w:cs="宋体"/>
          <w:b/>
          <w:color w:val="auto"/>
          <w:kern w:val="0"/>
          <w:szCs w:val="21"/>
          <w:highlight w:val="none"/>
        </w:rPr>
        <w:t>招标收费基准费率</w:t>
      </w:r>
      <w:r>
        <w:rPr>
          <w:rFonts w:hint="eastAsia" w:ascii="宋体" w:hAnsi="宋体" w:eastAsia="宋体" w:cs="宋体"/>
          <w:b/>
          <w:color w:val="auto"/>
          <w:kern w:val="0"/>
          <w:szCs w:val="21"/>
          <w:highlight w:val="none"/>
          <w:u w:val="single"/>
          <w:lang w:val="en-US" w:eastAsia="zh-CN"/>
        </w:rPr>
        <w:t>60</w:t>
      </w:r>
      <w:r>
        <w:rPr>
          <w:rFonts w:hint="eastAsia" w:ascii="宋体" w:hAnsi="宋体" w:eastAsia="宋体" w:cs="宋体"/>
          <w:b/>
          <w:color w:val="auto"/>
          <w:kern w:val="0"/>
          <w:szCs w:val="21"/>
          <w:highlight w:val="none"/>
        </w:rPr>
        <w:t>%计算，在领取中标通知书前向</w:t>
      </w:r>
      <w:r>
        <w:rPr>
          <w:rFonts w:hint="eastAsia" w:ascii="宋体" w:hAnsi="宋体" w:eastAsia="宋体" w:cs="宋体"/>
          <w:b/>
          <w:color w:val="auto"/>
          <w:kern w:val="0"/>
          <w:szCs w:val="21"/>
          <w:highlight w:val="none"/>
          <w:lang w:eastAsia="zh-CN"/>
        </w:rPr>
        <w:t>采购代理机构</w:t>
      </w:r>
      <w:r>
        <w:rPr>
          <w:rFonts w:hint="eastAsia" w:ascii="宋体" w:hAnsi="宋体" w:eastAsia="宋体" w:cs="宋体"/>
          <w:b/>
          <w:color w:val="auto"/>
          <w:kern w:val="0"/>
          <w:szCs w:val="21"/>
          <w:highlight w:val="none"/>
        </w:rPr>
        <w:t>支付招标服务费。本项费用无需在投标报价表中单列。</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四、投标文件的递交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17、投标文件的密封和递交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b/>
          <w:bCs/>
          <w:color w:val="auto"/>
          <w:kern w:val="0"/>
          <w:szCs w:val="21"/>
          <w:highlight w:val="none"/>
        </w:rPr>
        <w:t>投标人的</w:t>
      </w:r>
      <w:r>
        <w:rPr>
          <w:rFonts w:hint="eastAsia" w:ascii="宋体" w:hAnsi="宋体" w:eastAsia="宋体" w:cs="宋体"/>
          <w:b/>
          <w:color w:val="auto"/>
          <w:highlight w:val="none"/>
        </w:rPr>
        <w:t>所有投标文件均应密封后递交，同时应提供电子版投标文件</w:t>
      </w:r>
      <w:r>
        <w:rPr>
          <w:rFonts w:hint="eastAsia" w:ascii="宋体" w:hAnsi="宋体" w:eastAsia="宋体" w:cs="宋体"/>
          <w:b/>
          <w:color w:val="auto"/>
          <w:szCs w:val="21"/>
          <w:highlight w:val="none"/>
        </w:rPr>
        <w:t>壹份</w:t>
      </w:r>
      <w:r>
        <w:rPr>
          <w:rFonts w:hint="eastAsia" w:ascii="宋体" w:hAnsi="宋体" w:eastAsia="宋体" w:cs="宋体"/>
          <w:b/>
          <w:bCs w:val="0"/>
          <w:color w:val="auto"/>
          <w:szCs w:val="21"/>
          <w:highlight w:val="none"/>
        </w:rPr>
        <w:t>（电子版须为投标文件正本加盖公章、签字后形成PDF扫描件，扫描件内容应与纸质投标文件正本完全一致、U盘形式（单独封装）、随纸质正本文件一并提交）</w:t>
      </w:r>
      <w:r>
        <w:rPr>
          <w:rFonts w:hint="eastAsia" w:ascii="宋体" w:hAnsi="宋体" w:eastAsia="宋体" w:cs="宋体"/>
          <w:b/>
          <w:color w:val="auto"/>
          <w:highlight w:val="none"/>
        </w:rPr>
        <w:t>。</w:t>
      </w:r>
      <w:r>
        <w:rPr>
          <w:rFonts w:hint="eastAsia" w:ascii="宋体" w:hAnsi="宋体" w:eastAsia="宋体" w:cs="宋体"/>
          <w:color w:val="auto"/>
          <w:highlight w:val="none"/>
        </w:rPr>
        <w:t>当电子版文件和纸质正本文件不一致时，以纸质正本文件为准。</w:t>
      </w:r>
      <w:r>
        <w:rPr>
          <w:rFonts w:hint="eastAsia" w:ascii="宋体" w:hAnsi="宋体" w:eastAsia="宋体" w:cs="宋体"/>
          <w:color w:val="auto"/>
          <w:kern w:val="0"/>
          <w:szCs w:val="21"/>
          <w:highlight w:val="none"/>
        </w:rPr>
        <w:t>每套投标文件须清楚标明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正本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副本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如果它们之间内容有差异，以正本为准。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17.2 </w:t>
      </w:r>
      <w:r>
        <w:rPr>
          <w:rFonts w:hint="eastAsia" w:ascii="宋体" w:hAnsi="宋体" w:eastAsia="宋体" w:cs="宋体"/>
          <w:b/>
          <w:color w:val="auto"/>
          <w:highlight w:val="none"/>
        </w:rPr>
        <w:t>投标文件正本和所有副本均需打印或用不褪色墨水书写，并由投标人的法定代表人或授权代表签字</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或签章</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并在招标文件中注明须加盖公章的地方加盖公章，如为授权代表签字的应附“</w:t>
      </w:r>
      <w:r>
        <w:rPr>
          <w:rFonts w:hint="eastAsia" w:ascii="宋体" w:hAnsi="宋体" w:eastAsia="宋体" w:cs="宋体"/>
          <w:b/>
          <w:color w:val="auto"/>
          <w:highlight w:val="none"/>
          <w:lang w:eastAsia="zh-CN"/>
        </w:rPr>
        <w:t>法定代表人授权书</w:t>
      </w:r>
      <w:r>
        <w:rPr>
          <w:rFonts w:hint="eastAsia" w:ascii="宋体" w:hAnsi="宋体" w:eastAsia="宋体" w:cs="宋体"/>
          <w:b/>
          <w:color w:val="auto"/>
          <w:highlight w:val="none"/>
        </w:rPr>
        <w:t>”，正本必须为原件，但投标人的相关证明文件可采用复印件，采用复印件的，评标委员会认为需要时，投标人应提供原件供核对。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投标文件不应有涂改、增删之处，如必须修改时，修改处必须有投标人法定代表人或授权代表签字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，同时加盖投标人公章。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highlight w:val="none"/>
        </w:rPr>
        <w:t>17.4投标文件提倡按照A4幅面打印或复印并进行装订，如有资料超过A4幅面折叠成A4幅面；投标文件装订提倡采用胶装的形式。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17.5 </w:t>
      </w:r>
      <w:r>
        <w:rPr>
          <w:rFonts w:hint="eastAsia" w:ascii="宋体" w:hAnsi="宋体" w:eastAsia="宋体" w:cs="宋体"/>
          <w:b/>
          <w:bCs/>
          <w:color w:val="auto"/>
          <w:kern w:val="0"/>
          <w:szCs w:val="21"/>
          <w:highlight w:val="none"/>
        </w:rPr>
        <w:t>投标人应当在招标文件要求提交投标文件的截止时间前，将投标文件密封送达投标地点。</w:t>
      </w:r>
      <w:r>
        <w:rPr>
          <w:rFonts w:hint="eastAsia" w:ascii="宋体" w:hAnsi="宋体" w:eastAsia="宋体" w:cs="宋体"/>
          <w:color w:val="auto"/>
          <w:kern w:val="0"/>
          <w:szCs w:val="21"/>
          <w:highlight w:val="none"/>
        </w:rPr>
        <w:t>任何单位和个人不得在开标前开启投标文件。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18、有下列情形的投标文件将被拒收：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18.1逾期送达的；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18.2未按照招标文件要求密封的。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19、投标文件的修改和撤回</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19.1投标人在投标截止时间前，可以对所递交的投标文件进行补充、修改或者撤回，并书面通知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。补充、修改的内容应当按照招标文件要求签署、盖章、密封后，作为投标文件的组成部分。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投标截止时间之后，投标文件不得撤回；如撤回，投标保证金不予退还。</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20、诚实信用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20.1投标人应当遵循公平竞争的原则，不得恶意串通，不得妨碍其他投标人的竞争行为，不得损害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或者其他投标人的合法权益。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20.2在评标过程中发现投标人有上述情形的，评标委员会应当认定其投标无效，并书面报告本级财政部门。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五、开标、评标与定标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21、开标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21.1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21.2开标时，应当由投标人或者其推选的代表检查投标文件的密封情况；经确认无误后，由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工作人员当众拆封，宣布投标人名称、投标价格和招标文件规定的需要宣布的其他内容。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21.3投标人不足3家的，不得开标。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21.4开标过程由</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负责记录，由参加开标的各投标人代表和相关工作人员签字确认后随招标文件一并存档。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对投标人代表提出的询问或者回避申请及时处理。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21.5投标人未参加开标的，视同认可开标结果。</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21.6本次采购已进行过两次或以上公开采购，如投标文件递交截止时间止只有2家或1家单位递交文件，则不进行公开唱标。如投标文件递交截止时间止只有2家单位递交文件或通过符合性审查单位只有2家，则可以按文件评审办法进行磋商采购（也可终止采购），如投标文件递交截止时间止仅有1家单位递交文件或通过符合性审查单位仅有1家，则采购人可以与该单位进行谈判采购（也可终止采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22、评标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22.1 评标委员会</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22.1.1</w:t>
      </w:r>
      <w:r>
        <w:rPr>
          <w:rFonts w:hint="eastAsia" w:ascii="宋体" w:hAnsi="宋体" w:eastAsia="宋体" w:cs="宋体"/>
          <w:bCs/>
          <w:color w:val="auto"/>
          <w:kern w:val="0"/>
          <w:szCs w:val="21"/>
          <w:highlight w:val="none"/>
        </w:rPr>
        <w:t>评标委员会负责具体评标事务，并独立履行下列职责：</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（一）审查、评价投标文件是否符合招标文件的商务、技术等实质性要求；</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（二）要求投标人对投标文件有关事项作出澄清或者说明；</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（三）对投标文件进行比较和评价；</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（四）确定中标候选人名单，以及根据采购人委托直接确定中标人；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（五）向</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采购代理机构</w:t>
      </w:r>
      <w:r>
        <w:rPr>
          <w:rFonts w:hint="eastAsia" w:ascii="宋体" w:hAnsi="宋体" w:eastAsia="宋体" w:cs="宋体"/>
          <w:bCs/>
          <w:color w:val="auto"/>
          <w:kern w:val="0"/>
          <w:szCs w:val="21"/>
          <w:highlight w:val="none"/>
        </w:rPr>
        <w:t>或者有关部门报告评标中发现的违法行为。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22.1.2 </w:t>
      </w:r>
      <w:r>
        <w:rPr>
          <w:rFonts w:hint="eastAsia" w:ascii="宋体" w:hAnsi="宋体" w:eastAsia="宋体" w:cs="宋体"/>
          <w:color w:val="auto"/>
          <w:kern w:val="0"/>
          <w:szCs w:val="21"/>
          <w:highlight w:val="none"/>
        </w:rPr>
        <w:t>评标委员会由</w:t>
      </w:r>
      <w:r>
        <w:rPr>
          <w:rFonts w:hint="eastAsia" w:ascii="宋体" w:hAnsi="宋体" w:eastAsia="宋体" w:cs="宋体"/>
          <w:bCs/>
          <w:color w:val="auto"/>
          <w:kern w:val="0"/>
          <w:szCs w:val="21"/>
          <w:highlight w:val="none"/>
          <w:lang w:eastAsia="zh-CN"/>
        </w:rPr>
        <w:t>采购人</w:t>
      </w:r>
      <w:r>
        <w:rPr>
          <w:rFonts w:hint="eastAsia" w:ascii="宋体" w:hAnsi="宋体" w:eastAsia="宋体" w:cs="宋体"/>
          <w:color w:val="auto"/>
          <w:kern w:val="0"/>
          <w:szCs w:val="21"/>
          <w:highlight w:val="none"/>
        </w:rPr>
        <w:t>代表和有关技术、经济等方面的专家组成，独立开展评审工作。</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  评标程序</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22.2.1 </w:t>
      </w:r>
      <w:r>
        <w:rPr>
          <w:rFonts w:hint="eastAsia" w:ascii="宋体" w:hAnsi="宋体" w:eastAsia="宋体" w:cs="宋体"/>
          <w:b/>
          <w:bCs/>
          <w:color w:val="auto"/>
          <w:kern w:val="0"/>
          <w:szCs w:val="21"/>
          <w:highlight w:val="none"/>
        </w:rPr>
        <w:t>投标文件的资格性检查。</w:t>
      </w:r>
      <w:r>
        <w:rPr>
          <w:rFonts w:hint="eastAsia" w:ascii="宋体" w:hAnsi="宋体" w:eastAsia="宋体" w:cs="宋体"/>
          <w:color w:val="auto"/>
          <w:kern w:val="0"/>
          <w:szCs w:val="21"/>
          <w:highlight w:val="none"/>
        </w:rPr>
        <w:t>公开招标采购项目开标结束后，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kern w:val="0"/>
          <w:szCs w:val="21"/>
          <w:highlight w:val="none"/>
        </w:rPr>
        <w:t>应当依法对投标人的资格进行审查。</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22.2.2投标文件的符合性审查</w:t>
      </w:r>
      <w:r>
        <w:rPr>
          <w:rFonts w:hint="eastAsia" w:ascii="宋体" w:hAnsi="宋体" w:eastAsia="宋体" w:cs="宋体"/>
          <w:color w:val="auto"/>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）未按照招标文件规定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要求密封、签署、盖章的</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）不具备招标文件中规定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资格要求的；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）报价超过招标文件中规定的预算金额或者最高限价的；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）投标文件含有</w:t>
      </w:r>
      <w:r>
        <w:rPr>
          <w:rFonts w:hint="eastAsia" w:ascii="宋体" w:hAnsi="宋体" w:eastAsia="宋体" w:cs="宋体"/>
          <w:b/>
          <w:color w:val="auto"/>
          <w:kern w:val="0"/>
          <w:szCs w:val="21"/>
          <w:highlight w:val="none"/>
          <w:lang w:val="en-US" w:eastAsia="zh-CN"/>
        </w:rPr>
        <w:t>采购人</w:t>
      </w:r>
      <w:r>
        <w:rPr>
          <w:rFonts w:hint="eastAsia" w:ascii="宋体" w:hAnsi="宋体" w:eastAsia="宋体" w:cs="宋体"/>
          <w:b/>
          <w:color w:val="auto"/>
          <w:kern w:val="0"/>
          <w:szCs w:val="21"/>
          <w:highlight w:val="none"/>
        </w:rPr>
        <w:t>不能接受的附加条件的；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）投标文件内容不全或不符合招标文件中规定的其它实质性要求的；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6</w:t>
      </w:r>
      <w:r>
        <w:rPr>
          <w:rFonts w:hint="eastAsia" w:ascii="宋体" w:hAnsi="宋体" w:eastAsia="宋体" w:cs="宋体"/>
          <w:b/>
          <w:color w:val="auto"/>
          <w:kern w:val="0"/>
          <w:szCs w:val="21"/>
          <w:highlight w:val="none"/>
        </w:rPr>
        <w:t>）未按</w:t>
      </w:r>
      <w:r>
        <w:rPr>
          <w:rFonts w:hint="eastAsia" w:ascii="宋体" w:hAnsi="宋体" w:eastAsia="宋体" w:cs="宋体"/>
          <w:b/>
          <w:color w:val="auto"/>
          <w:kern w:val="0"/>
          <w:szCs w:val="21"/>
          <w:highlight w:val="none"/>
          <w:lang w:val="en-US" w:eastAsia="zh-CN"/>
        </w:rPr>
        <w:t>招标文件</w:t>
      </w:r>
      <w:r>
        <w:rPr>
          <w:rFonts w:hint="eastAsia" w:ascii="宋体" w:hAnsi="宋体" w:eastAsia="宋体" w:cs="宋体"/>
          <w:b/>
          <w:color w:val="auto"/>
          <w:kern w:val="0"/>
          <w:szCs w:val="21"/>
          <w:highlight w:val="none"/>
        </w:rPr>
        <w:t>规定的数额和</w:t>
      </w:r>
      <w:r>
        <w:rPr>
          <w:rFonts w:hint="eastAsia" w:ascii="宋体" w:hAnsi="宋体" w:eastAsia="宋体" w:cs="宋体"/>
          <w:b/>
          <w:color w:val="auto"/>
          <w:kern w:val="0"/>
          <w:szCs w:val="21"/>
          <w:highlight w:val="none"/>
          <w:lang w:val="en-US" w:eastAsia="zh-CN"/>
        </w:rPr>
        <w:t>形式</w:t>
      </w:r>
      <w:r>
        <w:rPr>
          <w:rFonts w:hint="eastAsia" w:ascii="宋体" w:hAnsi="宋体" w:eastAsia="宋体" w:cs="宋体"/>
          <w:b/>
          <w:color w:val="auto"/>
          <w:kern w:val="0"/>
          <w:szCs w:val="21"/>
          <w:highlight w:val="none"/>
        </w:rPr>
        <w:t>交纳投标保证金的；</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）现行法律、法规、规章和招标文件规定的其他无效情形。</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22.2.2.1 实质性要求是指本招标文件中用带星号（“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”）、“必须”或“应（应当）”等其他文字说明的商务和技术要求。</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22.2.2.2</w:t>
      </w:r>
      <w:r>
        <w:rPr>
          <w:rFonts w:hint="eastAsia" w:ascii="宋体" w:hAnsi="宋体" w:eastAsia="宋体" w:cs="宋体"/>
          <w:color w:val="auto"/>
          <w:kern w:val="0"/>
          <w:szCs w:val="21"/>
          <w:highlight w:val="none"/>
        </w:rPr>
        <w:t>有下列情形之一的予以废标：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（1）出现影响采购公正的违法、违规行为的；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）投标人的报价均超过了采购预算，采购人不能支付的；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）因重大变故，采购任务取消的。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w:t>
      </w:r>
      <w:r>
        <w:rPr>
          <w:rFonts w:hint="eastAsia" w:ascii="宋体" w:hAnsi="宋体" w:eastAsia="宋体" w:cs="宋体"/>
          <w:b/>
          <w:bCs/>
          <w:color w:val="auto"/>
          <w:kern w:val="0"/>
          <w:szCs w:val="21"/>
          <w:highlight w:val="none"/>
        </w:rPr>
        <w:t>澄清有关问题</w:t>
      </w:r>
      <w:r>
        <w:rPr>
          <w:rFonts w:hint="eastAsia" w:ascii="宋体" w:hAnsi="宋体" w:eastAsia="宋体" w:cs="宋体"/>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22.2.3.3投标文件报价出现前后不一致的，除招标文件另有规定外，按照下列规定修正：</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（2）大写金额和小写金额不一致的，以大写金额为准；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（3）单价金额小数点或者百分比有明显错位的，以开标一览表的总价为准，并修改单价；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w:t>
      </w:r>
      <w:r>
        <w:rPr>
          <w:rFonts w:hint="eastAsia" w:ascii="宋体" w:hAnsi="宋体" w:eastAsia="宋体" w:cs="宋体"/>
          <w:b/>
          <w:color w:val="auto"/>
          <w:kern w:val="0"/>
          <w:szCs w:val="21"/>
          <w:highlight w:val="none"/>
        </w:rPr>
        <w:t>修正后的报价按照前款规定经投标人确认后产生约束力，投标人不确认的，其投标无效。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22.2.3.4</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eastAsia="宋体" w:cs="宋体"/>
          <w:b/>
          <w:color w:val="auto"/>
          <w:highlight w:val="none"/>
        </w:rPr>
        <w:t>投标人不能证明其报价合理性的，评标委员会将其作为无效投标处理。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22.2.4</w:t>
      </w:r>
      <w:r>
        <w:rPr>
          <w:rFonts w:hint="eastAsia" w:ascii="宋体" w:hAnsi="宋体" w:eastAsia="宋体" w:cs="宋体"/>
          <w:bCs/>
          <w:color w:val="auto"/>
          <w:kern w:val="0"/>
          <w:szCs w:val="21"/>
          <w:highlight w:val="none"/>
        </w:rPr>
        <w:t>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w:t>
      </w:r>
      <w:r>
        <w:rPr>
          <w:rFonts w:hint="eastAsia" w:ascii="宋体" w:hAnsi="宋体" w:cs="宋体"/>
          <w:color w:val="auto"/>
          <w:kern w:val="0"/>
          <w:szCs w:val="21"/>
          <w:highlight w:val="none"/>
          <w:lang w:eastAsia="zh-CN"/>
        </w:rPr>
        <w:t>综合评审</w:t>
      </w:r>
      <w:r>
        <w:rPr>
          <w:rFonts w:hint="eastAsia" w:ascii="宋体" w:hAnsi="宋体" w:eastAsia="宋体" w:cs="宋体"/>
          <w:color w:val="auto"/>
          <w:kern w:val="0"/>
          <w:szCs w:val="21"/>
          <w:highlight w:val="none"/>
        </w:rPr>
        <w:t>与评价。</w:t>
      </w:r>
    </w:p>
    <w:p>
      <w:pPr>
        <w:widowControl/>
        <w:shd w:val="clear" w:color="auto" w:fill="FFFFFF"/>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22.2.5</w:t>
      </w:r>
      <w:r>
        <w:rPr>
          <w:rFonts w:hint="eastAsia" w:ascii="宋体" w:hAnsi="宋体" w:eastAsia="宋体" w:cs="宋体"/>
          <w:color w:val="auto"/>
          <w:highlight w:val="none"/>
        </w:rPr>
        <w:t>相同品牌产品的投标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22.3 评标方法和标准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22.3.1评标方法分为最低评标价法和综合评分法。本次招标的评标方法和标准，详见本招标文件第三章。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评审因素，包括价格、技术、商务等。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评标时，评标委员会各成员应当独立对每个投标人的投标文件进行评价，并汇总每个投标人的得分。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评标总得分＝F1×A1＋F2×A2＋……＋Fn×An</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F1、F2……Fn分别为各项评审因素的得分；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A1、A2、……An 分别为各项评审因素所占的权重(A1＋A2＋……＋An＝1)。</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因落实政府采购政策进行价格调整的，以调整后的价格计算评标基准价和投标报价。</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23、</w:t>
      </w:r>
      <w:r>
        <w:rPr>
          <w:rFonts w:hint="eastAsia" w:ascii="宋体" w:hAnsi="宋体" w:eastAsia="宋体" w:cs="宋体"/>
          <w:b/>
          <w:color w:val="auto"/>
          <w:kern w:val="0"/>
          <w:szCs w:val="21"/>
          <w:highlight w:val="none"/>
        </w:rPr>
        <w:t>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23.4 中标通知书对</w:t>
      </w:r>
      <w:r>
        <w:rPr>
          <w:rFonts w:hint="eastAsia" w:ascii="宋体" w:hAnsi="宋体" w:eastAsia="宋体" w:cs="宋体"/>
          <w:b/>
          <w:bCs/>
          <w:color w:val="auto"/>
          <w:kern w:val="0"/>
          <w:szCs w:val="21"/>
          <w:highlight w:val="none"/>
          <w:lang w:eastAsia="zh-CN"/>
        </w:rPr>
        <w:t>采购人</w:t>
      </w:r>
      <w:r>
        <w:rPr>
          <w:rFonts w:hint="eastAsia" w:ascii="宋体" w:hAnsi="宋体" w:eastAsia="宋体" w:cs="宋体"/>
          <w:b/>
          <w:bCs/>
          <w:color w:val="auto"/>
          <w:kern w:val="0"/>
          <w:szCs w:val="21"/>
          <w:highlight w:val="none"/>
        </w:rPr>
        <w:t>和中标人具有同等法律效力。</w:t>
      </w:r>
      <w:r>
        <w:rPr>
          <w:rFonts w:hint="eastAsia" w:ascii="宋体" w:hAnsi="宋体" w:eastAsia="宋体" w:cs="宋体"/>
          <w:b/>
          <w:bCs/>
          <w:color w:val="auto"/>
          <w:kern w:val="0"/>
          <w:szCs w:val="21"/>
          <w:highlight w:val="none"/>
          <w:lang w:val="en-US" w:eastAsia="zh-CN"/>
        </w:rPr>
        <w:t>中标通知书发出后，采购人不得违法改变中标结果，中标人无正当理由不得放弃中标。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24、编写评标报告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24.1评标委员会根据全体评标成员签字的原始评标记录和评标结果编写评标报告。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25、评标过程的保密性</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将采取必要措施，保证评标在严格保密的情况下进行。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任何单位和个人不得非法干预、影响评标办法的确定，以及评标过程和结果。</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凡是与审查、澄清、评价和比较投标的有关资料等，均不向投标人及与评标无关的其他人员透露。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除继续履行将损害国家利益和社会公众利益的，政府采购合同的双方当事人不得擅自变更、中止或者终止合同。放弃或拒绝签订合同的，中标人不得参加对该项目重新开展的采购活动，投标</w:t>
      </w:r>
      <w:r>
        <w:rPr>
          <w:rFonts w:hint="eastAsia" w:ascii="宋体" w:hAnsi="宋体" w:eastAsia="宋体" w:cs="宋体"/>
          <w:color w:val="auto"/>
          <w:kern w:val="0"/>
          <w:szCs w:val="21"/>
          <w:highlight w:val="none"/>
        </w:rPr>
        <w:t>保证金不予退还</w:t>
      </w:r>
      <w:r>
        <w:rPr>
          <w:rFonts w:hint="eastAsia" w:ascii="宋体" w:hAnsi="宋体" w:eastAsia="宋体" w:cs="宋体"/>
          <w:color w:val="auto"/>
          <w:kern w:val="0"/>
          <w:szCs w:val="21"/>
          <w:highlight w:val="none"/>
          <w:lang w:val="en-US" w:eastAsia="zh-CN"/>
        </w:rPr>
        <w:t>，不收取投标保证金的项目，中标人</w:t>
      </w:r>
      <w:r>
        <w:rPr>
          <w:rFonts w:hint="eastAsia" w:ascii="宋体" w:hAnsi="宋体" w:eastAsia="宋体" w:cs="宋体"/>
          <w:color w:val="auto"/>
          <w:kern w:val="0"/>
          <w:szCs w:val="21"/>
          <w:highlight w:val="none"/>
        </w:rPr>
        <w:t>应向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所发生的</w:t>
      </w:r>
      <w:r>
        <w:rPr>
          <w:rFonts w:hint="eastAsia" w:ascii="宋体" w:hAnsi="宋体" w:eastAsia="宋体" w:cs="宋体"/>
          <w:color w:val="auto"/>
          <w:kern w:val="0"/>
          <w:szCs w:val="21"/>
          <w:highlight w:val="none"/>
          <w:lang w:val="en-US"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由财政部门列入不良行为记录名单，在一至三年内禁止参加政府采购活动，并予以通报。</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中标人拒绝与采购人签订合同的，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政府采购合同履行中，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七、质疑和投诉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27.1供应商对招标活动事项有疑问的，可以向</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提出询问，</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将依法作出答复，但答复的内容不涉及商业秘密</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以联合体形式参加政府采购活动的，其质疑应当由组成联合体的所有供应商共同提出。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供应商必须在法定质疑期内一次性提出针对同一采购程序环节的质疑。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 供应商提出质疑应当提交质疑函和必要的证明材料。质疑函应当包括下列内容：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（一）供应商的姓名或者名称、地址、邮编、联系人及联系电话；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27.7采购代理机构在收到投标人的书面质疑后将及时组织调查核实，在</w:t>
      </w:r>
      <w:r>
        <w:rPr>
          <w:rFonts w:hint="eastAsia" w:ascii="宋体" w:hAnsi="宋体" w:eastAsia="宋体" w:cs="宋体"/>
          <w:b/>
          <w:bCs/>
          <w:color w:val="auto"/>
          <w:kern w:val="0"/>
          <w:szCs w:val="21"/>
          <w:highlight w:val="none"/>
        </w:rPr>
        <w:t>七个工作日内</w:t>
      </w:r>
      <w:r>
        <w:rPr>
          <w:rFonts w:hint="eastAsia" w:ascii="宋体" w:hAnsi="宋体" w:eastAsia="宋体" w:cs="宋体"/>
          <w:color w:val="auto"/>
          <w:kern w:val="0"/>
          <w:szCs w:val="21"/>
          <w:highlight w:val="none"/>
        </w:rPr>
        <w:t>作出答复，并以书面或在网站公告形式通知质疑投标人和其他有关投标人，答复的内容不涉及商业秘密。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任何单位和个人对代理机构在招标采购活动中的违法行为，有权控告和检举，联系电话：025-86636139（</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质量管理部门）、025-866368</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纪检监察部门）。</w:t>
      </w:r>
    </w:p>
    <w:p>
      <w:pPr>
        <w:widowControl/>
        <w:shd w:val="clear" w:color="auto" w:fill="FFFFFF"/>
        <w:spacing w:line="420" w:lineRule="exact"/>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28、投诉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28.2供应商投诉应当有明确的请求和必要的证明材料。供应商投诉的事项不得超出已质疑事项的范围。</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28.4 投诉人有下列行为之一的，属于严重失信行为，</w:t>
      </w:r>
      <w:r>
        <w:rPr>
          <w:rFonts w:hint="eastAsia" w:ascii="宋体" w:hAnsi="宋体" w:eastAsia="宋体" w:cs="宋体"/>
          <w:color w:val="auto"/>
          <w:szCs w:val="21"/>
          <w:highlight w:val="none"/>
        </w:rPr>
        <w:t>由财政部门列入不良行为记录名单，禁止其一至三年内参加政府采购活动。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（1）投诉人在全国范围12个月内三次以上投诉查无实据的；</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（2）采用捏造事实、提供虚假材料或者以非法手段取得证明材料等方式进行虚假、恶意投诉。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证据来源的合法性存在明显疑问，投诉人无法证明其取得方式合法的，视为以非法手段取得证明材料。</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29.1本项目根据江苏省财政厅关于加强政府绿色采购有关事项的通知（苏财购</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65号）规定，执行绿色采购需求标准。</w:t>
      </w:r>
    </w:p>
    <w:p>
      <w:pPr>
        <w:spacing w:line="420" w:lineRule="exact"/>
        <w:ind w:firstLine="420" w:firstLineChars="200"/>
        <w:rPr>
          <w:rFonts w:hint="eastAsia" w:ascii="宋体" w:hAnsi="宋体" w:eastAsia="宋体" w:cs="宋体"/>
          <w:color w:val="auto"/>
          <w:highlight w:val="none"/>
        </w:rPr>
      </w:pPr>
      <w:bookmarkStart w:id="21" w:name="_Toc11112"/>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kern w:val="0"/>
          <w:highlight w:val="none"/>
        </w:rPr>
      </w:pPr>
      <w:bookmarkStart w:id="22" w:name="_Toc29984"/>
      <w:r>
        <w:rPr>
          <w:rFonts w:hint="eastAsia" w:ascii="宋体" w:hAnsi="宋体" w:eastAsia="宋体" w:cs="宋体"/>
          <w:color w:val="auto"/>
          <w:kern w:val="0"/>
          <w:highlight w:val="none"/>
        </w:rPr>
        <w:t> </w:t>
      </w:r>
      <w:bookmarkStart w:id="23" w:name="_Toc481057145"/>
      <w:r>
        <w:rPr>
          <w:rFonts w:hint="eastAsia" w:ascii="宋体" w:hAnsi="宋体" w:eastAsia="宋体" w:cs="宋体"/>
          <w:color w:val="auto"/>
          <w:kern w:val="0"/>
          <w:highlight w:val="none"/>
        </w:rPr>
        <w:t>第三章  评标标准</w:t>
      </w:r>
      <w:bookmarkEnd w:id="21"/>
      <w:bookmarkEnd w:id="22"/>
    </w:p>
    <w:bookmarkEnd w:id="23"/>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低价优先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5"/>
        <w:tblpPr w:leftFromText="180" w:rightFromText="180" w:vertAnchor="text" w:horzAnchor="page" w:tblpX="692" w:tblpY="724"/>
        <w:tblOverlap w:val="never"/>
        <w:tblW w:w="105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058"/>
        <w:gridCol w:w="8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 w:hRule="atLeast"/>
          <w:tblHeader/>
          <w:jc w:val="center"/>
        </w:trPr>
        <w:tc>
          <w:tcPr>
            <w:tcW w:w="2114" w:type="dxa"/>
            <w:gridSpan w:val="2"/>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评分内容</w:t>
            </w:r>
          </w:p>
        </w:tc>
        <w:tc>
          <w:tcPr>
            <w:tcW w:w="8393" w:type="dxa"/>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211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（满分100分）</w:t>
            </w: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投标人</w:t>
            </w:r>
            <w:r>
              <w:rPr>
                <w:rFonts w:hint="eastAsia" w:ascii="宋体" w:hAnsi="宋体" w:eastAsia="宋体" w:cs="宋体"/>
                <w:spacing w:val="-3"/>
                <w:sz w:val="21"/>
                <w:szCs w:val="21"/>
                <w:highlight w:val="none"/>
              </w:rPr>
              <w:t>的总得分包括</w:t>
            </w:r>
            <w:r>
              <w:rPr>
                <w:rFonts w:hint="eastAsia" w:ascii="宋体" w:hAnsi="宋体" w:eastAsia="宋体" w:cs="宋体"/>
                <w:spacing w:val="-1"/>
                <w:sz w:val="21"/>
                <w:szCs w:val="21"/>
                <w:highlight w:val="none"/>
                <w:lang w:val="en-US" w:eastAsia="zh-CN"/>
              </w:rPr>
              <w:t>投标报价</w:t>
            </w:r>
            <w:r>
              <w:rPr>
                <w:rFonts w:hint="eastAsia" w:ascii="宋体" w:hAnsi="宋体" w:eastAsia="宋体" w:cs="宋体"/>
                <w:spacing w:val="-1"/>
                <w:sz w:val="21"/>
                <w:szCs w:val="21"/>
                <w:highlight w:val="none"/>
              </w:rPr>
              <w:t>、技术部分、商务</w:t>
            </w:r>
            <w:r>
              <w:rPr>
                <w:rFonts w:hint="eastAsia" w:ascii="宋体" w:hAnsi="宋体" w:eastAsia="宋体" w:cs="宋体"/>
                <w:spacing w:val="-6"/>
                <w:sz w:val="21"/>
                <w:szCs w:val="21"/>
                <w:highlight w:val="none"/>
              </w:rPr>
              <w:t>部分3项评分因素的汇总得分。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211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96" w:firstLine="39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投标报价</w:t>
            </w:r>
            <w:r>
              <w:rPr>
                <w:rFonts w:hint="eastAsia" w:ascii="宋体" w:hAnsi="宋体" w:eastAsia="宋体" w:cs="宋体"/>
                <w:spacing w:val="-7"/>
                <w:sz w:val="21"/>
                <w:szCs w:val="21"/>
                <w:highlight w:val="none"/>
              </w:rPr>
              <w:t>：</w:t>
            </w:r>
            <w:r>
              <w:rPr>
                <w:rFonts w:hint="eastAsia" w:ascii="宋体" w:hAnsi="宋体" w:cs="宋体"/>
                <w:spacing w:val="-7"/>
                <w:sz w:val="21"/>
                <w:szCs w:val="21"/>
                <w:highlight w:val="none"/>
                <w:lang w:val="en-US" w:eastAsia="zh-CN"/>
              </w:rPr>
              <w:t>3</w:t>
            </w:r>
            <w:r>
              <w:rPr>
                <w:rFonts w:hint="eastAsia" w:ascii="宋体" w:hAnsi="宋体" w:eastAsia="宋体" w:cs="宋体"/>
                <w:spacing w:val="-7"/>
                <w:sz w:val="21"/>
                <w:szCs w:val="21"/>
                <w:highlight w:val="none"/>
                <w:lang w:val="en-US" w:eastAsia="zh-CN"/>
              </w:rPr>
              <w:t>0</w:t>
            </w:r>
            <w:r>
              <w:rPr>
                <w:rFonts w:hint="eastAsia" w:ascii="宋体" w:hAnsi="宋体" w:eastAsia="宋体" w:cs="宋体"/>
                <w:spacing w:val="-7"/>
                <w:sz w:val="21"/>
                <w:szCs w:val="21"/>
                <w:highlight w:val="none"/>
              </w:rPr>
              <w:t>分；商务</w:t>
            </w:r>
            <w:r>
              <w:rPr>
                <w:rFonts w:hint="eastAsia" w:ascii="宋体" w:hAnsi="宋体" w:eastAsia="宋体" w:cs="宋体"/>
                <w:spacing w:val="-7"/>
                <w:sz w:val="21"/>
                <w:szCs w:val="21"/>
                <w:highlight w:val="none"/>
                <w:lang w:val="en-US" w:eastAsia="zh-CN"/>
              </w:rPr>
              <w:t>部分</w:t>
            </w:r>
            <w:r>
              <w:rPr>
                <w:rFonts w:hint="eastAsia" w:ascii="宋体" w:hAnsi="宋体"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技术部分：</w:t>
            </w:r>
            <w:r>
              <w:rPr>
                <w:rFonts w:hint="eastAsia" w:ascii="宋体" w:hAnsi="宋体" w:cs="宋体"/>
                <w:spacing w:val="-7"/>
                <w:sz w:val="21"/>
                <w:szCs w:val="21"/>
                <w:highlight w:val="none"/>
                <w:lang w:val="en-US" w:eastAsia="zh-CN"/>
              </w:rPr>
              <w:t>50</w:t>
            </w:r>
            <w:r>
              <w:rPr>
                <w:rFonts w:hint="eastAsia" w:ascii="宋体" w:hAnsi="宋体" w:eastAsia="宋体" w:cs="宋体"/>
                <w:spacing w:val="-7"/>
                <w:sz w:val="21"/>
                <w:szCs w:val="21"/>
                <w:highlight w:val="none"/>
              </w:rPr>
              <w:t>分</w:t>
            </w:r>
            <w:r>
              <w:rPr>
                <w:rFonts w:hint="eastAsia" w:ascii="宋体" w:hAnsi="宋体" w:eastAsia="宋体" w:cs="宋体"/>
                <w:spacing w:val="-7"/>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8" w:hRule="atLeast"/>
          <w:jc w:val="center"/>
        </w:trPr>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0</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209"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采用低价优先法计算，即满足采购文件要求且价格最低的投标报价为投标基准价，其价格分为满分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0分。其他投标人的价格分统一按照下列公式计算：投标报价得分=(投标基准价／投标报价)×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0（小数点保留两位）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209" w:righ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2.本项目预估金额为</w:t>
            </w:r>
            <w:r>
              <w:rPr>
                <w:rFonts w:hint="eastAsia" w:ascii="宋体" w:hAnsi="宋体" w:cs="宋体"/>
                <w:b/>
                <w:bCs/>
                <w:sz w:val="21"/>
                <w:szCs w:val="21"/>
                <w:highlight w:val="none"/>
                <w:lang w:val="en-US" w:eastAsia="zh-CN"/>
              </w:rPr>
              <w:t xml:space="preserve"> 18</w:t>
            </w:r>
            <w:r>
              <w:rPr>
                <w:rFonts w:hint="eastAsia" w:ascii="宋体" w:hAnsi="宋体" w:eastAsia="宋体" w:cs="宋体"/>
                <w:b/>
                <w:bCs/>
                <w:sz w:val="21"/>
                <w:szCs w:val="21"/>
                <w:highlight w:val="none"/>
              </w:rPr>
              <w:t>万元（含税），</w:t>
            </w:r>
            <w:r>
              <w:rPr>
                <w:rFonts w:hint="eastAsia" w:ascii="宋体" w:hAnsi="宋体" w:cs="宋体"/>
                <w:b/>
                <w:bCs/>
                <w:sz w:val="21"/>
                <w:szCs w:val="21"/>
                <w:highlight w:val="none"/>
                <w:lang w:eastAsia="zh-CN"/>
              </w:rPr>
              <w:t>投标报价超出项目预算金额或超出投标单价限价的，按无效标处理。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jc w:val="center"/>
        </w:trPr>
        <w:tc>
          <w:tcPr>
            <w:tcW w:w="1056"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商务部分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服务业绩</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w:t>
            </w:r>
            <w:r>
              <w:rPr>
                <w:rFonts w:hint="eastAsia" w:ascii="宋体" w:hAnsi="宋体" w:cs="宋体"/>
                <w:sz w:val="21"/>
                <w:szCs w:val="21"/>
                <w:highlight w:val="none"/>
                <w:lang w:val="en-US" w:eastAsia="zh-CN"/>
              </w:rPr>
              <w:t>至本次公告发布日（不包含当日）</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与标的内容相同</w:t>
            </w:r>
            <w:r>
              <w:rPr>
                <w:rFonts w:hint="eastAsia" w:ascii="宋体" w:hAnsi="宋体" w:eastAsia="宋体" w:cs="宋体"/>
                <w:sz w:val="21"/>
                <w:szCs w:val="21"/>
                <w:highlight w:val="none"/>
                <w:lang w:val="en-US" w:eastAsia="zh-CN"/>
              </w:rPr>
              <w:t>服务业绩</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分，不提供不得分。（提供合同复印件，时间以合同签订时间为准。）</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注：</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r>
              <w:rPr>
                <w:rFonts w:hint="eastAsia" w:ascii="宋体" w:hAnsi="宋体" w:cs="宋体"/>
                <w:b/>
                <w:i w:val="0"/>
                <w:color w:val="auto"/>
                <w:kern w:val="0"/>
                <w:sz w:val="21"/>
                <w:szCs w:val="21"/>
                <w:highlight w:val="none"/>
                <w:u w:val="none"/>
                <w:lang w:val="en-US" w:eastAsia="zh-CN" w:bidi="ar"/>
              </w:rPr>
              <w:t>须提供合同复印件（合同原件备查）及该合同项下对应的任一结算周期（须在上述时间范围内）发票复印件及发票对应国家税务总局全国增值税发票查验平台查验截图。</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i w:val="0"/>
                <w:color w:val="auto"/>
                <w:kern w:val="0"/>
                <w:sz w:val="21"/>
                <w:szCs w:val="21"/>
                <w:highlight w:val="none"/>
                <w:u w:val="none"/>
                <w:lang w:val="en-US" w:eastAsia="zh-CN" w:bidi="ar"/>
              </w:rPr>
              <w:t>2.同一合作单位（包括合同中的同一甲方，为同一单位不同分支机构提供服务的也算同一合作单位）同一项下的同类业绩，按一份计算，不重复计分。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jc w:val="center"/>
        </w:trPr>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技术部分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50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生产能力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对</w:t>
            </w:r>
            <w:r>
              <w:rPr>
                <w:rFonts w:hint="eastAsia" w:ascii="宋体" w:hAnsi="宋体" w:cs="宋体"/>
                <w:color w:val="auto"/>
                <w:sz w:val="21"/>
                <w:szCs w:val="21"/>
                <w:highlight w:val="none"/>
                <w:lang w:bidi="ar"/>
              </w:rPr>
              <w:t>投标人具有</w:t>
            </w:r>
            <w:r>
              <w:rPr>
                <w:rFonts w:hint="eastAsia" w:ascii="宋体" w:hAnsi="宋体" w:cs="宋体"/>
                <w:color w:val="auto"/>
                <w:sz w:val="21"/>
                <w:szCs w:val="21"/>
                <w:highlight w:val="none"/>
                <w:lang w:val="en-US" w:eastAsia="zh-CN" w:bidi="ar"/>
              </w:rPr>
              <w:t>所投产品</w:t>
            </w:r>
            <w:r>
              <w:rPr>
                <w:rFonts w:hint="eastAsia" w:ascii="宋体" w:hAnsi="宋体" w:cs="宋体"/>
                <w:color w:val="auto"/>
                <w:sz w:val="21"/>
                <w:szCs w:val="21"/>
                <w:highlight w:val="none"/>
                <w:lang w:bidi="ar"/>
              </w:rPr>
              <w:t>生产工艺类型设备</w:t>
            </w:r>
            <w:r>
              <w:rPr>
                <w:rFonts w:hint="eastAsia" w:ascii="宋体" w:hAnsi="宋体" w:cs="宋体"/>
                <w:color w:val="auto"/>
                <w:sz w:val="21"/>
                <w:szCs w:val="21"/>
                <w:highlight w:val="none"/>
                <w:lang w:val="en-US" w:eastAsia="zh-CN" w:bidi="ar"/>
              </w:rPr>
              <w:t>进行综合评审</w:t>
            </w:r>
            <w:r>
              <w:rPr>
                <w:rFonts w:hint="eastAsia" w:ascii="宋体" w:hAnsi="宋体" w:cs="宋体"/>
                <w:color w:val="auto"/>
                <w:sz w:val="21"/>
                <w:szCs w:val="21"/>
                <w:highlight w:val="none"/>
                <w:lang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设备齐全、安全性强、先进性强</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设备齐全、安全性一般、先进性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设备可完成生产需要</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安全性和先进性</w:t>
            </w: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ind w:firstLine="420" w:firstLineChars="200"/>
              <w:rPr>
                <w:rFonts w:hint="eastAsia" w:ascii="宋体" w:hAnsi="宋体" w:cs="宋体"/>
                <w:color w:val="auto"/>
                <w:sz w:val="21"/>
                <w:szCs w:val="21"/>
                <w:highlight w:val="none"/>
                <w:lang w:bidi="ar"/>
              </w:rPr>
            </w:pPr>
            <w:r>
              <w:rPr>
                <w:rFonts w:hint="eastAsia" w:ascii="宋体" w:hAnsi="宋体" w:eastAsia="宋体" w:cs="宋体"/>
                <w:sz w:val="21"/>
                <w:szCs w:val="21"/>
                <w:highlight w:val="none"/>
              </w:rPr>
              <w:t>未提供不得分。</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bidi="ar"/>
              </w:rPr>
              <w:t>（提供设备发票或付款凭证</w:t>
            </w:r>
            <w:r>
              <w:rPr>
                <w:rFonts w:hint="eastAsia" w:ascii="宋体" w:hAnsi="宋体" w:cs="宋体"/>
                <w:color w:val="auto"/>
                <w:sz w:val="21"/>
                <w:szCs w:val="21"/>
                <w:highlight w:val="none"/>
                <w:lang w:val="en-US" w:eastAsia="zh-CN" w:bidi="ar"/>
              </w:rPr>
              <w:t>或生产车间图片</w:t>
            </w:r>
            <w:r>
              <w:rPr>
                <w:rFonts w:hint="eastAsia" w:ascii="宋体" w:hAnsi="宋体" w:cs="宋体"/>
                <w:color w:val="auto"/>
                <w:sz w:val="21"/>
                <w:szCs w:val="21"/>
                <w:highlight w:val="none"/>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管理制度与服务程序</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提供的制度和程序完整合理符合规范，且可行性强的得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提供的制度和程序基本合理规范有一项缺陷、可行性一般的得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提供的制度和程序不完整，有多处不规范、可行性较差的得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紧急预案</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针对紧急调换货，供应商配货出错等问题采取的措施。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方案完整合理、可行性强的得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w:t>
            </w:r>
            <w:r>
              <w:rPr>
                <w:rFonts w:hint="eastAsia" w:ascii="宋体" w:hAnsi="宋体" w:eastAsia="宋体" w:cs="宋体"/>
                <w:sz w:val="21"/>
                <w:szCs w:val="21"/>
                <w:highlight w:val="none"/>
                <w:lang w:val="en-US" w:eastAsia="zh-CN"/>
              </w:rPr>
              <w:t>有一处缺陷</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追溯能力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提供详细追溯说明，有溯源系统的，</w:t>
            </w:r>
            <w:r>
              <w:rPr>
                <w:rFonts w:hint="eastAsia" w:ascii="宋体" w:hAnsi="宋体" w:cs="宋体"/>
                <w:color w:val="auto"/>
                <w:sz w:val="21"/>
                <w:szCs w:val="21"/>
                <w:highlight w:val="none"/>
                <w:lang w:val="en-US" w:eastAsia="zh-CN" w:bidi="ar"/>
              </w:rPr>
              <w:t>且系统</w:t>
            </w:r>
            <w:r>
              <w:rPr>
                <w:rFonts w:hint="eastAsia" w:ascii="宋体" w:hAnsi="宋体" w:cs="宋体"/>
                <w:color w:val="auto"/>
                <w:sz w:val="21"/>
                <w:szCs w:val="21"/>
                <w:highlight w:val="none"/>
                <w:lang w:bidi="ar"/>
              </w:rPr>
              <w:t>能够可完整追溯的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提供比较详细追溯说明，且系统能够大致环节都可追溯的得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没有溯源系统的，未提供的不得分。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供货速度</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lang w:val="en-US" w:eastAsia="zh-CN"/>
              </w:rPr>
              <w:t>一周内完成供货的基础上，根据投标人的供货速度进行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退换货速度</w:t>
            </w: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rPr>
              <w:t>一周内</w:t>
            </w:r>
            <w:r>
              <w:rPr>
                <w:rFonts w:hint="eastAsia" w:ascii="宋体" w:hAnsi="宋体" w:eastAsia="宋体" w:cs="宋体"/>
                <w:sz w:val="21"/>
                <w:szCs w:val="21"/>
                <w:highlight w:val="none"/>
                <w:lang w:val="en-US" w:eastAsia="zh-CN"/>
              </w:rPr>
              <w:t>完成退换货的</w:t>
            </w:r>
            <w:r>
              <w:rPr>
                <w:rFonts w:hint="eastAsia" w:ascii="宋体" w:hAnsi="宋体" w:eastAsia="宋体" w:cs="宋体"/>
                <w:sz w:val="21"/>
                <w:szCs w:val="21"/>
                <w:highlight w:val="none"/>
              </w:rPr>
              <w:t>基础上，根据投标人的</w:t>
            </w:r>
            <w:r>
              <w:rPr>
                <w:rFonts w:hint="eastAsia" w:ascii="宋体" w:hAnsi="宋体" w:eastAsia="宋体" w:cs="宋体"/>
                <w:sz w:val="21"/>
                <w:szCs w:val="21"/>
                <w:highlight w:val="none"/>
                <w:lang w:val="en-US" w:eastAsia="zh-CN"/>
              </w:rPr>
              <w:t>退换货速度</w:t>
            </w:r>
            <w:r>
              <w:rPr>
                <w:rFonts w:hint="eastAsia" w:ascii="宋体" w:hAnsi="宋体" w:eastAsia="宋体" w:cs="宋体"/>
                <w:sz w:val="21"/>
                <w:szCs w:val="21"/>
                <w:highlight w:val="none"/>
              </w:rPr>
              <w:t>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仓储管理能力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5</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eastAsia="宋体" w:cs="宋体"/>
                <w:sz w:val="21"/>
                <w:szCs w:val="21"/>
                <w:highlight w:val="none"/>
                <w:lang w:val="en-US" w:eastAsia="zh-CN"/>
              </w:rPr>
              <w:t>原辅料</w:t>
            </w:r>
            <w:r>
              <w:rPr>
                <w:rFonts w:hint="eastAsia" w:ascii="宋体" w:hAnsi="宋体" w:eastAsia="宋体" w:cs="宋体"/>
                <w:sz w:val="21"/>
                <w:szCs w:val="21"/>
                <w:highlight w:val="none"/>
              </w:rPr>
              <w:t>仓库</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分；（提供加盖公章的仓储平面图）</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2、具有原辅料仓储质量保证管理制度及规范，制度与记录最</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完善的得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简单</w:t>
            </w:r>
            <w:r>
              <w:rPr>
                <w:rFonts w:hint="eastAsia" w:ascii="宋体" w:hAnsi="宋体" w:eastAsia="宋体" w:cs="宋体"/>
                <w:sz w:val="21"/>
                <w:szCs w:val="21"/>
                <w:highlight w:val="none"/>
              </w:rPr>
              <w:t>基本的制度与记录的得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分，无制度或无记录的均不得分。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（提供加盖公章的证明材料，未提供证明材料不得分。）；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物流配送</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2</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投标人自有配送车队</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至少</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辆车辆对产品进行配送的得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委托固定的第三方配送的得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分，两者均无的不得分，不重复叠加给分（提供相关证明材料，否则不得分）；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增值服务</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根据所有投标人提供的增值服务进行</w:t>
            </w: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，根据增值服务的可行性、实用性及合作展望进行评价（可提供以往合作案例或服务承诺等材料），针对性强、内容完整合理，得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分；针对性一般、内容完整合理性一般，得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分；不提供不得分。</w:t>
            </w:r>
          </w:p>
        </w:tc>
      </w:tr>
    </w:tbl>
    <w:p>
      <w:pPr>
        <w:rPr>
          <w:rFonts w:hint="eastAsia" w:ascii="宋体" w:hAnsi="宋体" w:eastAsia="宋体" w:cs="宋体"/>
          <w:color w:val="auto"/>
          <w:highlight w:val="none"/>
        </w:rPr>
      </w:pPr>
    </w:p>
    <w:p>
      <w:pPr>
        <w:spacing w:line="360" w:lineRule="auto"/>
        <w:rPr>
          <w:rFonts w:hint="eastAsia" w:ascii="宋体" w:hAnsi="宋体" w:eastAsia="宋体" w:cs="宋体"/>
          <w:b w:val="0"/>
          <w:bCs/>
          <w:color w:val="auto"/>
          <w:kern w:val="0"/>
          <w:sz w:val="32"/>
          <w:szCs w:val="44"/>
          <w:highlight w:val="none"/>
        </w:rPr>
      </w:pPr>
      <w:r>
        <w:rPr>
          <w:rFonts w:hint="eastAsia" w:ascii="宋体" w:hAnsi="宋体" w:eastAsia="宋体" w:cs="宋体"/>
          <w:b w:val="0"/>
          <w:bCs/>
          <w:color w:val="auto"/>
          <w:kern w:val="0"/>
          <w:highlight w:val="none"/>
        </w:rPr>
        <w:br w:type="page"/>
      </w:r>
    </w:p>
    <w:p>
      <w:pPr>
        <w:pStyle w:val="4"/>
        <w:numPr>
          <w:ilvl w:val="0"/>
          <w:numId w:val="0"/>
        </w:numPr>
        <w:rPr>
          <w:rFonts w:hint="eastAsia" w:ascii="宋体" w:hAnsi="宋体" w:eastAsia="宋体" w:cs="宋体"/>
          <w:color w:val="auto"/>
          <w:kern w:val="0"/>
          <w:highlight w:val="none"/>
        </w:rPr>
      </w:pPr>
      <w:bookmarkStart w:id="24" w:name="_Toc23380"/>
      <w:bookmarkStart w:id="25" w:name="_Toc30587"/>
      <w:r>
        <w:rPr>
          <w:rFonts w:hint="eastAsia" w:ascii="宋体" w:hAnsi="宋体" w:eastAsia="宋体" w:cs="宋体"/>
          <w:color w:val="auto"/>
          <w:kern w:val="0"/>
          <w:highlight w:val="none"/>
        </w:rPr>
        <w:t>第四章 采购需求</w:t>
      </w:r>
      <w:bookmarkEnd w:id="24"/>
      <w:bookmarkEnd w:id="25"/>
      <w:bookmarkStart w:id="26" w:name="_Toc481057147"/>
    </w:p>
    <w:bookmarkEnd w:id="26"/>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bookmarkStart w:id="27" w:name="_Toc6328"/>
      <w:r>
        <w:rPr>
          <w:rFonts w:hint="eastAsia" w:ascii="宋体" w:hAnsi="宋体" w:eastAsia="宋体" w:cs="宋体"/>
          <w:b/>
          <w:bCs/>
          <w:sz w:val="21"/>
          <w:szCs w:val="21"/>
          <w:highlight w:val="none"/>
        </w:rPr>
        <w:t>一、项目</w:t>
      </w:r>
      <w:r>
        <w:rPr>
          <w:rFonts w:hint="eastAsia" w:ascii="宋体" w:hAnsi="宋体" w:cs="宋体"/>
          <w:b/>
          <w:bCs/>
          <w:sz w:val="21"/>
          <w:szCs w:val="21"/>
          <w:highlight w:val="none"/>
          <w:lang w:val="en-US" w:eastAsia="zh-CN"/>
        </w:rPr>
        <w:t>背景</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中国医学科学院皮肤病医院（研究所），1954年创建于北京，直属中央卫生部领导，1970年从北京迁至江苏泰州， 1984年迁南京市玄武区蒋王庙街12号，是我国最早成立的从事皮肤病、性病、麻风病，集临床、科研、防治和教学为一体的国家级专业机构。院所现已发展成为中国疾病预防控制中心性病控制中心、中国疾病预防控制中心麻风病控制中心、教育部重点学科、皮肤病与性病学专业博士和硕士学位授予点、国家药品临床研究机构、中国微生物菌种保藏管理委员会医学真菌中心、江苏省临床医学中心（皮肤病与性病学）、卫生部化妆品皮肤病诊断机构、世界卫生组织性传播疾病预防与控制合作中心、家庭健康国际中国合作中心等。</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专科特色显著，拥有国内最齐全的皮肤病性病学亚学科。少见深部真菌病、性传播疾病、大疱病、血管炎、皮肤肿瘤诊疗，重症药疹抢救，皮肤血管瘤放射治疗和皮肤病理诊断等技术国内领先，部分达到国际先进水平。院所皮肤病与性病学专业为教育部重点学科，江苏省“135”工程重点学科;皮肤科为国家临床重点专科；现有江苏省重点实验室、江苏省科技厅临床医学研究中心各1个。近百种自主研制的自制制剂疗效显著、价格低廉，广泛应用于临床，深受患者好评。</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承担国家性病、麻风病防治任务，建立遍布全国的疫情监测网络，参与制定全国性病、麻风病防治规划、措施、标准和实施方案，开展对全国性病、麻风病预防与控制的技术指导和人员培训，为我国性病麻风病预防控制事业作出重要贡献。</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中国医学科学院皮肤病医院</w:t>
      </w:r>
      <w:r>
        <w:rPr>
          <w:rFonts w:hint="eastAsia" w:ascii="宋体" w:hAnsi="宋体" w:cs="宋体"/>
          <w:spacing w:val="-4"/>
          <w:sz w:val="21"/>
          <w:szCs w:val="21"/>
          <w:highlight w:val="none"/>
          <w:lang w:val="en-US" w:eastAsia="zh-CN"/>
        </w:rPr>
        <w:t>樟脑（天然）</w:t>
      </w:r>
      <w:r>
        <w:rPr>
          <w:rFonts w:hint="eastAsia" w:ascii="宋体" w:hAnsi="宋体" w:eastAsia="宋体" w:cs="宋体"/>
          <w:spacing w:val="-4"/>
          <w:sz w:val="21"/>
          <w:szCs w:val="21"/>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w:t>
      </w:r>
      <w:r>
        <w:rPr>
          <w:rFonts w:hint="eastAsia" w:ascii="宋体" w:hAnsi="宋体" w:eastAsia="宋体" w:cs="宋体"/>
          <w:spacing w:val="-4"/>
          <w:sz w:val="21"/>
          <w:szCs w:val="21"/>
          <w:highlight w:val="none"/>
        </w:rPr>
        <w:t>预算金额：</w:t>
      </w:r>
      <w:r>
        <w:rPr>
          <w:rFonts w:hint="eastAsia" w:ascii="宋体" w:hAnsi="宋体" w:cs="宋体"/>
          <w:spacing w:val="-4"/>
          <w:sz w:val="21"/>
          <w:szCs w:val="21"/>
          <w:highlight w:val="none"/>
          <w:lang w:val="en-US" w:eastAsia="zh-CN"/>
        </w:rPr>
        <w:t xml:space="preserve"> 18</w:t>
      </w:r>
      <w:r>
        <w:rPr>
          <w:rFonts w:hint="eastAsia" w:ascii="宋体" w:hAnsi="宋体" w:eastAsia="宋体" w:cs="宋体"/>
          <w:spacing w:val="-4"/>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highlight w:val="none"/>
        </w:rPr>
      </w:pPr>
      <w:r>
        <w:rPr>
          <w:rFonts w:hint="eastAsia" w:ascii="宋体" w:hAnsi="宋体" w:eastAsia="宋体" w:cs="宋体"/>
          <w:spacing w:val="-4"/>
          <w:sz w:val="21"/>
          <w:szCs w:val="21"/>
          <w:highlight w:val="none"/>
          <w:lang w:val="en-US" w:eastAsia="zh-CN"/>
        </w:rPr>
        <w:t>★单价限价：</w:t>
      </w:r>
      <w:r>
        <w:rPr>
          <w:rFonts w:hint="eastAsia" w:ascii="宋体" w:hAnsi="宋体" w:cs="宋体"/>
          <w:spacing w:val="-4"/>
          <w:sz w:val="21"/>
          <w:szCs w:val="21"/>
          <w:highlight w:val="none"/>
          <w:lang w:val="en-US" w:eastAsia="zh-CN"/>
        </w:rPr>
        <w:t>305</w:t>
      </w:r>
      <w:r>
        <w:rPr>
          <w:rFonts w:hint="eastAsia" w:ascii="宋体" w:hAnsi="宋体" w:eastAsia="宋体" w:cs="宋体"/>
          <w:spacing w:val="-4"/>
          <w:sz w:val="21"/>
          <w:szCs w:val="21"/>
          <w:highlight w:val="none"/>
          <w:lang w:val="en-US" w:eastAsia="zh-CN"/>
        </w:rPr>
        <w:t>元/kg</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合同履行期限：合同签订后</w:t>
      </w:r>
      <w:r>
        <w:rPr>
          <w:rFonts w:hint="eastAsia" w:ascii="宋体" w:hAnsi="宋体" w:cs="宋体"/>
          <w:spacing w:val="-4"/>
          <w:sz w:val="21"/>
          <w:szCs w:val="21"/>
          <w:highlight w:val="none"/>
          <w:lang w:val="en-US" w:eastAsia="zh-CN"/>
        </w:rPr>
        <w:t>按需完成供货</w:t>
      </w:r>
      <w:r>
        <w:rPr>
          <w:rFonts w:hint="eastAsia" w:ascii="宋体" w:hAnsi="宋体" w:eastAsia="宋体" w:cs="宋体"/>
          <w:spacing w:val="-4"/>
          <w:sz w:val="21"/>
          <w:szCs w:val="21"/>
          <w:highlight w:val="none"/>
          <w:lang w:val="en-US" w:eastAsia="zh-CN"/>
        </w:rPr>
        <w:t>。</w:t>
      </w:r>
    </w:p>
    <w:p>
      <w:pPr>
        <w:spacing w:line="440" w:lineRule="exact"/>
        <w:ind w:right="432" w:firstLine="404"/>
        <w:jc w:val="both"/>
        <w:rPr>
          <w:rFonts w:hint="eastAsia" w:ascii="宋体" w:hAnsi="宋体" w:cs="宋体"/>
          <w:spacing w:val="-4"/>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cs="宋体"/>
          <w:b w:val="0"/>
          <w:bCs w:val="0"/>
          <w:spacing w:val="-4"/>
          <w:sz w:val="21"/>
          <w:szCs w:val="21"/>
          <w:highlight w:val="none"/>
          <w:lang w:val="en-US" w:eastAsia="zh-CN"/>
        </w:rPr>
        <w:t>供</w:t>
      </w:r>
      <w:r>
        <w:rPr>
          <w:rFonts w:hint="eastAsia" w:ascii="宋体" w:hAnsi="宋体" w:eastAsia="宋体" w:cs="宋体"/>
          <w:b w:val="0"/>
          <w:bCs w:val="0"/>
          <w:spacing w:val="-4"/>
          <w:sz w:val="21"/>
          <w:szCs w:val="21"/>
          <w:highlight w:val="none"/>
          <w:lang w:val="en-US" w:eastAsia="zh-CN"/>
        </w:rPr>
        <w:t>货期：供货商接业主通知后一周内完成供货。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、采购内容</w:t>
      </w:r>
    </w:p>
    <w:tbl>
      <w:tblPr>
        <w:tblStyle w:val="45"/>
        <w:tblpPr w:leftFromText="180" w:rightFromText="180" w:vertAnchor="text" w:horzAnchor="page" w:tblpXSpec="center" w:tblpY="45"/>
        <w:tblOverlap w:val="never"/>
        <w:tblW w:w="8639" w:type="dxa"/>
        <w:jc w:val="center"/>
        <w:tblLayout w:type="fixed"/>
        <w:tblCellMar>
          <w:top w:w="0" w:type="dxa"/>
          <w:left w:w="108" w:type="dxa"/>
          <w:bottom w:w="0" w:type="dxa"/>
          <w:right w:w="108" w:type="dxa"/>
        </w:tblCellMar>
      </w:tblPr>
      <w:tblGrid>
        <w:gridCol w:w="479"/>
        <w:gridCol w:w="4080"/>
        <w:gridCol w:w="4080"/>
      </w:tblGrid>
      <w:tr>
        <w:tblPrEx>
          <w:tblCellMar>
            <w:top w:w="0" w:type="dxa"/>
            <w:left w:w="108" w:type="dxa"/>
            <w:bottom w:w="0" w:type="dxa"/>
            <w:right w:w="108" w:type="dxa"/>
          </w:tblCellMar>
        </w:tblPrEx>
        <w:trPr>
          <w:trHeight w:val="913"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名称</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年用量</w:t>
            </w:r>
          </w:p>
        </w:tc>
      </w:tr>
      <w:tr>
        <w:tblPrEx>
          <w:tblCellMar>
            <w:top w:w="0" w:type="dxa"/>
            <w:left w:w="108" w:type="dxa"/>
            <w:bottom w:w="0" w:type="dxa"/>
            <w:right w:w="108" w:type="dxa"/>
          </w:tblCellMar>
        </w:tblPrEx>
        <w:trPr>
          <w:trHeight w:val="818"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1</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eastAsia="zh-CN" w:bidi="ar"/>
              </w:rPr>
              <w:t>樟脑（天然）</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default"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500</w:t>
            </w:r>
            <w:r>
              <w:rPr>
                <w:rFonts w:hint="eastAsia" w:ascii="宋体" w:hAnsi="宋体" w:eastAsia="宋体" w:cs="宋体"/>
                <w:color w:val="000000"/>
                <w:kern w:val="0"/>
                <w:sz w:val="22"/>
                <w:highlight w:val="none"/>
                <w:lang w:bidi="ar"/>
              </w:rPr>
              <w:t>kg</w:t>
            </w:r>
            <w:r>
              <w:rPr>
                <w:rFonts w:hint="eastAsia" w:ascii="宋体" w:hAnsi="宋体" w:eastAsia="宋体" w:cs="宋体"/>
                <w:color w:val="000000"/>
                <w:kern w:val="0"/>
                <w:sz w:val="22"/>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注：以上数量为预估量，仅供参考，结算以实际采购数量为准。</w:t>
      </w:r>
    </w:p>
    <w:p>
      <w:pPr>
        <w:keepNext w:val="0"/>
        <w:keepLines w:val="0"/>
        <w:pageBreakBefore w:val="0"/>
        <w:widowControl w:val="0"/>
        <w:kinsoku/>
        <w:wordWrap/>
        <w:overflowPunct/>
        <w:topLinePunct w:val="0"/>
        <w:autoSpaceDE/>
        <w:autoSpaceDN/>
        <w:bidi w:val="0"/>
        <w:adjustRightInd/>
        <w:snapToGrid/>
        <w:spacing w:line="440" w:lineRule="exact"/>
        <w:ind w:right="432"/>
        <w:jc w:val="both"/>
        <w:textAlignment w:val="auto"/>
        <w:rPr>
          <w:rFonts w:hint="eastAsia" w:ascii="宋体" w:hAnsi="宋体" w:eastAsia="宋体" w:cs="宋体"/>
          <w:spacing w:val="-4"/>
          <w:sz w:val="21"/>
          <w:szCs w:val="21"/>
          <w:highlight w:val="none"/>
          <w:lang w:val="en-US" w:eastAsia="zh-CN"/>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四、</w:t>
      </w:r>
      <w:r>
        <w:rPr>
          <w:rFonts w:hint="eastAsia" w:ascii="宋体" w:hAnsi="宋体" w:cs="宋体"/>
          <w:b/>
          <w:bCs/>
          <w:sz w:val="21"/>
          <w:szCs w:val="21"/>
          <w:highlight w:val="none"/>
          <w:lang w:val="en-US" w:eastAsia="zh-CN"/>
        </w:rPr>
        <w:t>质保</w:t>
      </w:r>
      <w:r>
        <w:rPr>
          <w:rFonts w:hint="eastAsia" w:ascii="宋体" w:hAnsi="宋体" w:eastAsia="宋体" w:cs="宋体"/>
          <w:b/>
          <w:bCs/>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1.质保期</w:t>
      </w:r>
      <w:r>
        <w:rPr>
          <w:rFonts w:hint="eastAsia" w:ascii="宋体" w:hAnsi="宋体" w:eastAsia="宋体" w:cs="宋体"/>
          <w:spacing w:val="-4"/>
          <w:sz w:val="21"/>
          <w:szCs w:val="21"/>
          <w:highlight w:val="none"/>
          <w:lang w:val="en-US" w:eastAsia="zh-CN"/>
        </w:rPr>
        <w:t>：2年</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default"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2.供货商接业主通知后</w:t>
      </w:r>
      <w:r>
        <w:rPr>
          <w:rFonts w:hint="eastAsia" w:ascii="宋体" w:hAnsi="宋体" w:eastAsia="宋体" w:cs="宋体"/>
          <w:spacing w:val="-4"/>
          <w:sz w:val="21"/>
          <w:szCs w:val="21"/>
          <w:highlight w:val="none"/>
          <w:lang w:val="en-US" w:eastAsia="zh-CN"/>
        </w:rPr>
        <w:t>一周内</w:t>
      </w:r>
      <w:r>
        <w:rPr>
          <w:rFonts w:hint="eastAsia" w:ascii="宋体" w:hAnsi="宋体" w:cs="宋体"/>
          <w:spacing w:val="-4"/>
          <w:sz w:val="21"/>
          <w:szCs w:val="21"/>
          <w:highlight w:val="none"/>
          <w:lang w:val="en-US" w:eastAsia="zh-CN"/>
        </w:rPr>
        <w:t>完成</w:t>
      </w:r>
      <w:r>
        <w:rPr>
          <w:rFonts w:hint="eastAsia" w:ascii="宋体" w:hAnsi="宋体" w:eastAsia="宋体" w:cs="宋体"/>
          <w:spacing w:val="-4"/>
          <w:sz w:val="21"/>
          <w:szCs w:val="21"/>
          <w:highlight w:val="none"/>
          <w:lang w:val="en-US" w:eastAsia="zh-CN"/>
        </w:rPr>
        <w:t>对质保期内出现</w:t>
      </w:r>
      <w:r>
        <w:rPr>
          <w:rFonts w:hint="default" w:ascii="宋体" w:hAnsi="宋体" w:eastAsia="宋体" w:cs="宋体"/>
          <w:spacing w:val="-4"/>
          <w:sz w:val="21"/>
          <w:szCs w:val="21"/>
          <w:highlight w:val="none"/>
          <w:lang w:val="en-US" w:eastAsia="zh-CN"/>
        </w:rPr>
        <w:t>问题</w:t>
      </w:r>
      <w:r>
        <w:rPr>
          <w:rFonts w:hint="eastAsia" w:ascii="宋体" w:hAnsi="宋体" w:eastAsia="宋体" w:cs="宋体"/>
          <w:spacing w:val="-4"/>
          <w:sz w:val="21"/>
          <w:szCs w:val="21"/>
          <w:highlight w:val="none"/>
          <w:lang w:val="en-US" w:eastAsia="zh-CN"/>
        </w:rPr>
        <w:t>的原辅料</w:t>
      </w:r>
      <w:r>
        <w:rPr>
          <w:rFonts w:hint="eastAsia" w:ascii="宋体" w:hAnsi="宋体" w:cs="宋体"/>
          <w:spacing w:val="-4"/>
          <w:sz w:val="21"/>
          <w:szCs w:val="21"/>
          <w:highlight w:val="none"/>
          <w:lang w:val="en-US" w:eastAsia="zh-CN"/>
        </w:rPr>
        <w:t>的</w:t>
      </w:r>
      <w:r>
        <w:rPr>
          <w:rFonts w:hint="eastAsia" w:ascii="宋体" w:hAnsi="宋体" w:eastAsia="宋体" w:cs="宋体"/>
          <w:spacing w:val="-4"/>
          <w:sz w:val="21"/>
          <w:szCs w:val="21"/>
          <w:highlight w:val="none"/>
          <w:lang w:val="en-US" w:eastAsia="zh-CN"/>
        </w:rPr>
        <w:t>退换货。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五、付款条件</w:t>
      </w:r>
    </w:p>
    <w:p>
      <w:pPr>
        <w:keepNext w:val="0"/>
        <w:keepLines w:val="0"/>
        <w:pageBreakBefore w:val="0"/>
        <w:widowControl w:val="0"/>
        <w:kinsoku/>
        <w:wordWrap/>
        <w:overflowPunct/>
        <w:topLinePunct w:val="0"/>
        <w:autoSpaceDE/>
        <w:autoSpaceDN/>
        <w:bidi w:val="0"/>
        <w:adjustRightInd/>
        <w:snapToGrid/>
        <w:spacing w:line="440" w:lineRule="exact"/>
        <w:ind w:right="432" w:firstLine="420" w:firstLineChars="200"/>
        <w:jc w:val="both"/>
        <w:textAlignment w:val="auto"/>
        <w:rPr>
          <w:rFonts w:hint="default" w:ascii="宋体" w:hAnsi="宋体" w:eastAsia="宋体" w:cs="宋体"/>
          <w:spacing w:val="-4"/>
          <w:sz w:val="21"/>
          <w:szCs w:val="21"/>
          <w:highlight w:val="none"/>
          <w:lang w:val="en-US" w:eastAsia="zh-CN"/>
        </w:rPr>
      </w:pPr>
      <w:r>
        <w:rPr>
          <w:rFonts w:hint="eastAsia" w:cs="Times New Roman"/>
          <w:szCs w:val="21"/>
          <w:highlight w:val="none"/>
          <w:lang w:val="zh-CN"/>
        </w:rPr>
        <w:t>供应商于每个月</w:t>
      </w:r>
      <w:r>
        <w:rPr>
          <w:rFonts w:hint="eastAsia" w:cs="Times New Roman"/>
          <w:szCs w:val="21"/>
          <w:highlight w:val="none"/>
          <w:lang w:val="en-US" w:eastAsia="zh-CN"/>
        </w:rPr>
        <w:t>25号前提供订单发票（增值税普通发票），</w:t>
      </w:r>
      <w:r>
        <w:rPr>
          <w:rFonts w:hint="eastAsia" w:cs="Times New Roman"/>
          <w:szCs w:val="21"/>
          <w:highlight w:val="none"/>
          <w:lang w:val="zh-CN"/>
        </w:rPr>
        <w:t>验收合格后开票，</w:t>
      </w:r>
      <w:r>
        <w:rPr>
          <w:rFonts w:hint="eastAsia" w:cs="Times New Roman"/>
          <w:szCs w:val="21"/>
          <w:highlight w:val="none"/>
          <w:lang w:val="en-US" w:eastAsia="zh-CN"/>
        </w:rPr>
        <w:t>采购人在收到供应商开具的增值税普通发票后1个月内支付</w:t>
      </w:r>
      <w:r>
        <w:rPr>
          <w:rFonts w:hint="eastAsia" w:ascii="宋体" w:hAnsi="宋体" w:eastAsia="宋体" w:cs="宋体"/>
          <w:spacing w:val="-4"/>
          <w:sz w:val="21"/>
          <w:szCs w:val="21"/>
          <w:highlight w:val="none"/>
          <w:lang w:val="en-US" w:eastAsia="zh-CN"/>
        </w:rPr>
        <w:t>，详见合同条款。</w:t>
      </w:r>
    </w:p>
    <w:p>
      <w:pPr>
        <w:pageBreakBefore w:val="0"/>
        <w:kinsoku/>
        <w:wordWrap/>
        <w:overflowPunct/>
        <w:topLinePunct w:val="0"/>
        <w:bidi w:val="0"/>
        <w:spacing w:line="440" w:lineRule="exact"/>
        <w:textAlignment w:val="auto"/>
        <w:rPr>
          <w:rFonts w:hint="eastAsia" w:ascii="宋体" w:hAnsi="宋体" w:eastAsia="宋体" w:cs="宋体"/>
          <w:sz w:val="21"/>
          <w:szCs w:val="21"/>
          <w:highlight w:val="none"/>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w:t>
      </w:r>
    </w:p>
    <w:p>
      <w:pPr>
        <w:pageBreakBefore w:val="0"/>
        <w:numPr>
          <w:ilvl w:val="0"/>
          <w:numId w:val="6"/>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★号条款为实质性条款，未实质性响应的投标文件将被视为未实质性响应招标文件，做否决投标处理。</w:t>
      </w:r>
    </w:p>
    <w:p>
      <w:pPr>
        <w:pageBreakBefore w:val="0"/>
        <w:numPr>
          <w:ilvl w:val="0"/>
          <w:numId w:val="0"/>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2.上述要求供应商在响应文件中进行逐项应答。如有疑问请与采购单位联系。</w:t>
      </w: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numPr>
          <w:ilvl w:val="0"/>
          <w:numId w:val="7"/>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合同主要条款及格式</w:t>
      </w:r>
    </w:p>
    <w:p>
      <w:pPr>
        <w:numPr>
          <w:numId w:val="0"/>
        </w:num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（仅供参考，已实际签约为准）</w:t>
      </w:r>
    </w:p>
    <w:p>
      <w:pPr>
        <w:pStyle w:val="136"/>
        <w:adjustRightInd w:val="0"/>
        <w:snapToGrid w:val="0"/>
        <w:jc w:val="center"/>
        <w:rPr>
          <w:rStyle w:val="47"/>
          <w:rFonts w:ascii="黑体" w:hAnsi="华文中宋" w:eastAsia="黑体" w:cs="Times New Roman"/>
          <w:sz w:val="28"/>
          <w:szCs w:val="28"/>
          <w:highlight w:val="none"/>
        </w:rPr>
      </w:pPr>
      <w:bookmarkStart w:id="28" w:name="_Toc29913945"/>
      <w:bookmarkStart w:id="29" w:name="_Toc256000040"/>
      <w:r>
        <w:rPr>
          <w:rStyle w:val="47"/>
          <w:rFonts w:hint="eastAsia" w:ascii="黑体" w:hAnsi="华文中宋" w:eastAsia="黑体" w:cs="Times New Roman"/>
          <w:sz w:val="28"/>
          <w:szCs w:val="28"/>
          <w:highlight w:val="none"/>
        </w:rPr>
        <w:t>第一节 政府采购合同协议书</w:t>
      </w:r>
      <w:bookmarkEnd w:id="28"/>
      <w:bookmarkEnd w:id="29"/>
    </w:p>
    <w:p>
      <w:pPr>
        <w:pStyle w:val="196"/>
        <w:adjustRightInd w:val="0"/>
        <w:snapToGrid w:val="0"/>
        <w:spacing w:before="156" w:beforeLines="50" w:line="360" w:lineRule="auto"/>
        <w:ind w:firstLine="5460" w:firstLineChars="2600"/>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采购合同编号：</w:t>
      </w:r>
      <w:r>
        <w:rPr>
          <w:rStyle w:val="47"/>
          <w:rFonts w:hint="eastAsia" w:ascii="宋体" w:hAnsi="宋体" w:eastAsia="宋体" w:cs="Times New Roman"/>
          <w:color w:val="000000"/>
          <w:szCs w:val="21"/>
          <w:highlight w:val="none"/>
          <w:u w:val="single"/>
        </w:rPr>
        <w:t xml:space="preserve">                 </w:t>
      </w:r>
    </w:p>
    <w:p>
      <w:pPr>
        <w:pStyle w:val="196"/>
        <w:adjustRightInd w:val="0"/>
        <w:snapToGrid w:val="0"/>
        <w:spacing w:before="156" w:beforeLines="50" w:line="360" w:lineRule="auto"/>
        <w:jc w:val="center"/>
        <w:rPr>
          <w:rStyle w:val="47"/>
          <w:rFonts w:hint="eastAsia" w:ascii="宋体" w:hAnsi="宋体" w:eastAsia="宋体" w:cs="Times New Roman"/>
          <w:b/>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采购人（全称）：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（甲方）</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供应商（全称）：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（乙方）</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p>
    <w:p>
      <w:pPr>
        <w:pStyle w:val="20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为了保护甲、乙双方合法权益，根据《中华人民共和国民法典》、《中华人民共和国政府采购法》及其他有关法律、法规、规章，双方签订本合同协议书。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1.项目信息</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（1）采购项目名称：</w:t>
      </w:r>
      <w:r>
        <w:rPr>
          <w:rStyle w:val="47"/>
          <w:rFonts w:hint="eastAsia" w:ascii="宋体" w:hAnsi="宋体" w:eastAsia="宋体" w:cs="Times New Roman"/>
          <w:color w:val="000000"/>
          <w:szCs w:val="21"/>
          <w:highlight w:val="none"/>
          <w:u w:val="single"/>
        </w:rPr>
        <w:t xml:space="preserve">                                          </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（2）采购计划编号：</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（3）项目内容：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（4）项目负责人：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2.合同金额</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（1）合同金额小写：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大写：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（2）具体标的见附件。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（3）合同价格形式：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b/>
          <w:color w:val="000000"/>
          <w:szCs w:val="21"/>
          <w:highlight w:val="none"/>
        </w:rPr>
        <w:t>3.履行合同的时间、地点及方式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起始日期：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日，完成日期：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日。总日历天数：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天。</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color w:val="000000"/>
          <w:szCs w:val="21"/>
          <w:highlight w:val="none"/>
        </w:rPr>
        <w:t>地点</w:t>
      </w:r>
      <w:r>
        <w:rPr>
          <w:rStyle w:val="47"/>
          <w:rFonts w:hint="eastAsia" w:ascii="宋体" w:hAnsi="宋体" w:eastAsia="宋体" w:cs="Times New Roman"/>
          <w:b/>
          <w:color w:val="000000"/>
          <w:szCs w:val="21"/>
          <w:highlight w:val="none"/>
        </w:rPr>
        <w:t>：</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4.付款：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bCs/>
          <w:color w:val="000000"/>
          <w:szCs w:val="21"/>
          <w:highlight w:val="none"/>
        </w:rPr>
      </w:pPr>
      <w:r>
        <w:rPr>
          <w:rStyle w:val="47"/>
          <w:rFonts w:hint="eastAsia" w:ascii="宋体" w:hAnsi="宋体" w:eastAsia="宋体" w:cs="Times New Roman"/>
          <w:color w:val="000000"/>
          <w:szCs w:val="21"/>
          <w:highlight w:val="none"/>
        </w:rPr>
        <w:t>1、</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5.解决合同纠纷方式</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首先通过双方协商解决，协商解决不成，则通过以下途径之一解决纠纷：</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提请仲裁       □ 向人民法院提起诉讼</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6.组成合同的文件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本协议书与下列文件一起构成合同文件，如下述文件之间有任何抵触、矛盾或歧义，应按以下顺序解释：</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（1）在采购或合同履行过程中乙方作出的承诺以及双方协商达成的变更或补充协议</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（3）中标通知书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（4）投标文件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（5）政府采购合同专用条款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（6）政府采购合同通用条款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（7）标准、规范及有关技术文件，图纸。</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（8）其他合同文件。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7.合同生效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本合同自</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8.合同份数</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本合同一式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份，采购人执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份，供应商执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份，均具有同等法律效力。</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合同订立时间：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合同订立地点：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甲      方：（公章）                     乙      方：（公章）</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法定代表人：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法定代表人：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委托代理人：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委托代理人：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电      话：</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电      话：</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传      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传      真：</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开 户 银 行：</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 xml:space="preserve">         帐       号：</w:t>
      </w:r>
      <w:r>
        <w:rPr>
          <w:rStyle w:val="47"/>
          <w:rFonts w:hint="eastAsia" w:ascii="宋体" w:hAnsi="宋体" w:eastAsia="宋体" w:cs="Times New Roman"/>
          <w:color w:val="000000"/>
          <w:szCs w:val="21"/>
          <w:highlight w:val="none"/>
          <w:u w:val="single"/>
        </w:rPr>
        <w:t xml:space="preserve">                 </w:t>
      </w:r>
    </w:p>
    <w:p>
      <w:pPr>
        <w:pStyle w:val="136"/>
        <w:adjustRightInd w:val="0"/>
        <w:snapToGrid w:val="0"/>
        <w:spacing w:before="156" w:beforeLines="50"/>
        <w:jc w:val="center"/>
        <w:rPr>
          <w:rStyle w:val="47"/>
          <w:rFonts w:hint="eastAsia" w:ascii="黑体" w:hAnsi="黑体" w:eastAsia="黑体" w:cs="Times New Roman"/>
          <w:sz w:val="28"/>
          <w:szCs w:val="28"/>
          <w:highlight w:val="none"/>
        </w:rPr>
      </w:pPr>
      <w:r>
        <w:rPr>
          <w:rStyle w:val="47"/>
          <w:rFonts w:hint="eastAsia" w:ascii="宋体" w:hAnsi="宋体" w:eastAsia="宋体" w:cs="Times New Roman"/>
          <w:b w:val="0"/>
          <w:bCs w:val="0"/>
          <w:color w:val="000000"/>
          <w:szCs w:val="21"/>
          <w:highlight w:val="none"/>
          <w:u w:val="single"/>
        </w:rPr>
        <w:br w:type="page"/>
      </w:r>
      <w:bookmarkStart w:id="30" w:name="_Toc256000041"/>
      <w:bookmarkStart w:id="31" w:name="_Toc29913946"/>
      <w:r>
        <w:rPr>
          <w:rStyle w:val="47"/>
          <w:rFonts w:hint="eastAsia" w:ascii="黑体" w:hAnsi="黑体" w:eastAsia="黑体" w:cs="Times New Roman"/>
          <w:sz w:val="28"/>
          <w:szCs w:val="28"/>
          <w:highlight w:val="none"/>
        </w:rPr>
        <w:t>第二节 政府采购合同通用条款</w:t>
      </w:r>
      <w:bookmarkEnd w:id="30"/>
      <w:bookmarkEnd w:id="31"/>
    </w:p>
    <w:p>
      <w:pPr>
        <w:pStyle w:val="196"/>
        <w:tabs>
          <w:tab w:val="left" w:pos="8820"/>
          <w:tab w:val="left" w:pos="9345"/>
          <w:tab w:val="left" w:pos="9765"/>
        </w:tabs>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sz w:val="24"/>
          <w:highlight w:val="none"/>
        </w:rPr>
        <w:t>1.</w:t>
      </w:r>
      <w:r>
        <w:rPr>
          <w:rStyle w:val="47"/>
          <w:rFonts w:hint="eastAsia" w:ascii="宋体" w:hAnsi="宋体" w:eastAsia="宋体" w:cs="Times New Roman"/>
          <w:b/>
          <w:bCs/>
          <w:sz w:val="24"/>
          <w:highlight w:val="none"/>
        </w:rPr>
        <w:t>定义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1.1合同当事人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（1）采购人（以下称甲方）是指使用财政性资金，通过政府采购程序向供应商购买货物、服务的国家机关、事业单位、团体组织。本次采购的甲方名称、地址见</w:t>
      </w:r>
      <w:r>
        <w:rPr>
          <w:rStyle w:val="47"/>
          <w:rFonts w:hint="eastAsia" w:ascii="宋体" w:hAnsi="宋体" w:eastAsia="宋体" w:cs="Times New Roman"/>
          <w:b/>
          <w:szCs w:val="21"/>
          <w:highlight w:val="none"/>
        </w:rPr>
        <w:t>【政府采购合同专用条款】。</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（2）供应商（以下称乙方）是指参加政府采购活动而取得中标结果，并向采购人提供货物、服务的法人、其他组织或者自然人。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1.2本合同下列术语应解释为：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（1）“合同”系指甲乙双方签署的、政府采购合同协议书中载明的甲乙双方所达成的协议，包括所有的附件、附录和上述文件所提到的构成合同的所有文件。</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（2）“合同价”系指根据本合同规定乙方在正确地完全履行合同义务后甲方应支付给乙方的价款。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（3）“货物”系指乙方根据本合同规定须向甲方提供的各种形态和种类的物品，包括原材料、设备、产品（包括软件）及相关的其备品备件、工具、手册及其它技术资料和材料。</w:t>
      </w:r>
    </w:p>
    <w:p>
      <w:pPr>
        <w:pStyle w:val="196"/>
        <w:tabs>
          <w:tab w:val="left" w:pos="570"/>
          <w:tab w:val="left" w:pos="888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（4）“服务”系指根据合同规定，乙方应提供的技术和其它服务。</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（5）“合同条款”系指本合同条款。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（6）“项目现场”系指本合同项下货物安装、运行的现场，其名称见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2.合同的适用范围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 本合同条款适用于没有被本合同其他部分的条款所取代的范围。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 合同内容根据招标文件、投标文件而确定。</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3.</w:t>
      </w:r>
      <w:r>
        <w:rPr>
          <w:rStyle w:val="47"/>
          <w:rFonts w:hint="eastAsia" w:ascii="宋体" w:hAnsi="宋体" w:eastAsia="宋体" w:cs="Times New Roman"/>
          <w:b/>
          <w:sz w:val="24"/>
          <w:highlight w:val="none"/>
        </w:rPr>
        <w:t>合同标的及金额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3.1 合同标的及金额应与中标结果一致。</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4.</w:t>
      </w:r>
      <w:r>
        <w:rPr>
          <w:rStyle w:val="47"/>
          <w:rFonts w:hint="eastAsia" w:ascii="宋体" w:hAnsi="宋体" w:eastAsia="宋体" w:cs="Times New Roman"/>
          <w:b/>
          <w:sz w:val="24"/>
          <w:highlight w:val="none"/>
        </w:rPr>
        <w:t>合同价款</w:t>
      </w:r>
    </w:p>
    <w:p>
      <w:pPr>
        <w:pStyle w:val="196"/>
        <w:adjustRightInd w:val="0"/>
        <w:snapToGrid w:val="0"/>
        <w:spacing w:before="50" w:line="360" w:lineRule="auto"/>
        <w:ind w:firstLine="420" w:firstLineChars="200"/>
        <w:jc w:val="left"/>
        <w:rPr>
          <w:rStyle w:val="47"/>
          <w:rFonts w:hint="eastAsia" w:ascii="宋体" w:hAnsi="宋体" w:eastAsia="宋体" w:cs="Times New Roman"/>
          <w:b/>
          <w:bCs/>
          <w:i/>
          <w:iCs/>
          <w:szCs w:val="21"/>
          <w:highlight w:val="none"/>
        </w:rPr>
      </w:pPr>
      <w:r>
        <w:rPr>
          <w:rStyle w:val="47"/>
          <w:rFonts w:hint="eastAsia" w:ascii="宋体" w:hAnsi="宋体" w:eastAsia="宋体" w:cs="Times New Roman"/>
          <w:szCs w:val="21"/>
          <w:highlight w:val="none"/>
        </w:rPr>
        <w:t>4.1具体合同价款见本合同第3.1条。乙方为履行本合同而发生的所有费用均应包含在合同价款中，甲方不再另行支付其它任何费用。</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5.履行合同的时间、地点和方式</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5.1 乙方应当在甲方确定的时间、指定的地点履行合同，具体的交货时间、地点和方式见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5.2 乙方提供服务的应当在甲方指定的地点完成服务项目。</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6.</w:t>
      </w:r>
      <w:r>
        <w:rPr>
          <w:rStyle w:val="47"/>
          <w:rFonts w:hint="eastAsia" w:ascii="宋体" w:hAnsi="宋体" w:eastAsia="宋体" w:cs="Times New Roman"/>
          <w:b/>
          <w:sz w:val="24"/>
          <w:highlight w:val="none"/>
        </w:rPr>
        <w:t>货物的验收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6.1 甲方在收到乙方交付的货物后应当及时组织验收。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6.2 货物的表面瑕疵，甲方应在验收时当面提出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6.3 在验收过程中发现数量不足或有质量、技术等问题，乙方应负责按照甲方的要求采取补足、更换或退货等处理措施，并承担由此发生的一切费用和损失。</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6.4 甲方在乙方按合同规定交货或安装、调试后，无正当理由而拖延接收、验收或拒绝接收、验收的，应承担因此给乙方造成的直接损失。</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7.货物包装要求</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8.运输和保险</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8.1乙方负责办理将货物运抵本合同第5.1条规定的交货地点的一切运输事项，相关费用应包括在合同总价中。</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9.质量标准和保证</w:t>
      </w:r>
    </w:p>
    <w:p>
      <w:pPr>
        <w:pStyle w:val="201"/>
        <w:adjustRightInd w:val="0"/>
        <w:snapToGrid w:val="0"/>
        <w:spacing w:before="50" w:line="360" w:lineRule="auto"/>
        <w:ind w:firstLine="420" w:firstLineChars="200"/>
        <w:jc w:val="left"/>
        <w:rPr>
          <w:rStyle w:val="47"/>
          <w:rFonts w:hint="eastAsia" w:hAnsi="宋体" w:eastAsia="宋体"/>
          <w:b/>
          <w:highlight w:val="none"/>
        </w:rPr>
      </w:pPr>
      <w:r>
        <w:rPr>
          <w:rStyle w:val="47"/>
          <w:rFonts w:hint="eastAsia" w:hAnsi="宋体" w:eastAsia="宋体"/>
          <w:highlight w:val="none"/>
        </w:rPr>
        <w:t>9.1 质量标准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（1）本合同下交付的货物应符合招标文件所述的标准。如果没有提及适用标准，则应符合中华人民共和国有关机构发布的最新版本的标准。</w:t>
      </w:r>
    </w:p>
    <w:p>
      <w:pPr>
        <w:pStyle w:val="201"/>
        <w:adjustRightInd w:val="0"/>
        <w:snapToGrid w:val="0"/>
        <w:spacing w:before="50" w:line="360" w:lineRule="auto"/>
        <w:ind w:firstLine="420" w:firstLineChars="200"/>
        <w:jc w:val="left"/>
        <w:rPr>
          <w:rStyle w:val="47"/>
          <w:rFonts w:hint="eastAsia" w:hAnsi="宋体" w:eastAsia="宋体"/>
          <w:highlight w:val="none"/>
        </w:rPr>
      </w:pPr>
      <w:r>
        <w:rPr>
          <w:rStyle w:val="47"/>
          <w:rFonts w:hint="eastAsia" w:hAnsi="宋体" w:eastAsia="宋体"/>
          <w:highlight w:val="none"/>
        </w:rPr>
        <w:t>（2）采用中华人民共和国法定计量单位。</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（3）乙方所出售的货物还应符合国家有关安全、环保、卫生之规定。</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9.2 保证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（1）乙方应保证所供货物是全新的、未使用过的，并完全符合合同规定的质量、规格和性能的要求。在货物最终交付验收后不少于</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规定或乙方承诺（两者以较长的为准）的质量保证期内，本保证保持有效。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（2）在质量保证期内所发现的缺陷，甲方应尽快以书面形式通知乙方。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（3）乙方收到通知后应在</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规定的响应时间内以合理的速度</w:t>
      </w:r>
      <w:r>
        <w:rPr>
          <w:rStyle w:val="47"/>
          <w:rFonts w:hint="eastAsia" w:ascii="宋体" w:hAnsi="宋体" w:cs="Times New Roman"/>
          <w:szCs w:val="21"/>
          <w:highlight w:val="none"/>
          <w:lang w:val="en-US" w:eastAsia="zh-CN"/>
        </w:rPr>
        <w:t>退换</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pPr>
        <w:pStyle w:val="196"/>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（5）乙方在约定的时间内未能弥补缺陷，甲方可采取必要的补救措施，但其风险和费用将由乙方承担，甲方根据合同规定对乙方行使的其他权利不受影响。</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10.权利瑕疵担保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10.1 乙方保证对其出售的货物享有合法的权利。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10.2 乙方保证在其出售的货物上不存在任何未曾向甲方透露的担保物权，如抵押权、质押权、留置权等。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10.3 如甲方使用该货物构成上述侵权的，则由乙方承担全部责任。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11.知识产权保护</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11.1 乙方对其所销售的货物应当享有知识产权或经权利人合法授权，保证没有侵犯任何第三人的知识产权和商业秘密等权利。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11.2 甲方使用乙方提供的货物对第三人构成侵权的，应当由乙方承担全部法律责任，给甲方造成损害的，乙方应当承担赔偿责任。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12.保密义务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12.1 甲、乙双方在采购和履行合同过程中所获悉的对方属于保密的内容，双方均有保密义务。</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13.合同价款支付</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13.1供应商于每个月25号前提供订单发票（增值税普通发票），验收合格后开票，采购人在收到供应商开具的增值税普通发票后1个月内支付，详见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14.</w:t>
      </w:r>
      <w:r>
        <w:rPr>
          <w:rStyle w:val="47"/>
          <w:rFonts w:hint="eastAsia" w:ascii="Calibri" w:hAnsi="Calibri" w:eastAsia="宋体" w:cs="Times New Roman"/>
          <w:b/>
          <w:sz w:val="24"/>
          <w:highlight w:val="none"/>
        </w:rPr>
        <w:t>乙方应提供的</w:t>
      </w:r>
      <w:r>
        <w:rPr>
          <w:rStyle w:val="47"/>
          <w:rFonts w:hint="eastAsia" w:ascii="宋体" w:hAnsi="宋体" w:eastAsia="宋体" w:cs="Times New Roman"/>
          <w:b/>
          <w:sz w:val="24"/>
          <w:highlight w:val="none"/>
        </w:rPr>
        <w:t>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 xml:space="preserve">14.1 </w:t>
      </w:r>
      <w:r>
        <w:rPr>
          <w:rStyle w:val="47"/>
          <w:rFonts w:hint="eastAsia" w:ascii="宋体" w:hAnsi="宋体" w:cs="Times New Roman"/>
          <w:szCs w:val="21"/>
          <w:highlight w:val="none"/>
          <w:lang w:val="en-US" w:eastAsia="zh-CN"/>
        </w:rPr>
        <w:t>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规定由乙方提供的其他服务。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14.</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乙方提供的服务的费用应包含在合同价款中，甲方不再另行支付。</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15.违约责任</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15.1质量瑕疵的补救措施和索赔</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（1）如果乙方提供的产品不符合质量标准或存在产品质量缺陷，乙方应按照甲方同意的下列一种或几种方式结合起来解决索赔事宜：</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①乙方同意退货并将货款退还给甲方，由此发生的一切费用和损失由乙方承担。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②根据货物的质量状况以及甲方所遭受的损失，经过甲乙双方商定降低货物的价格。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15.2 迟延交货的违约责任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（2）除本合同</w:t>
      </w:r>
      <w:r>
        <w:rPr>
          <w:rStyle w:val="47"/>
          <w:rFonts w:hint="eastAsia" w:ascii="宋体" w:hAnsi="宋体" w:eastAsia="宋体" w:cs="Times New Roman"/>
          <w:bCs/>
          <w:szCs w:val="21"/>
          <w:highlight w:val="none"/>
        </w:rPr>
        <w:t>第20条</w:t>
      </w:r>
      <w:r>
        <w:rPr>
          <w:rStyle w:val="47"/>
          <w:rFonts w:hint="eastAsia" w:ascii="宋体" w:hAnsi="宋体" w:eastAsia="宋体" w:cs="Times New Roman"/>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16.合同的变更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16.1 在合同履行过程中，甲、乙双方可就合同履行的时间、地点和方式等协商进行变更。协商一致后，双方应签订书面的补充协议。</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除双方签署书面协议，并成为合同不可分割的一部分外，本合同条件不得有任何变更。</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17.合同中止与终止</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17.1合同的中止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（1）合同在履行过程中，因采购计划调整，甲方可以要求中止履行，待计划确定后继续履行；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（2）合同履行过程中因供应商就采购过程或结果提起投诉的，甲方认为有必要或财政部门责令中止的，应当中止合同的履行。</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17.2合同的终止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（1）合同因有效期限届满而终止；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（2）乙方未能依照本合同约定条件履行合同，已构成根本性违约的，甲方有权终止本合同，并追究乙方的违约责任。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（3）如果乙方丧失履约能力或被宣告破产，甲方可在任何时候以书面形式通知乙方终止合同而不给乙方补偿。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（4）如果乙方在履行合同过程中有不正当竞争行为，甲方有权解除合同，并按《中华人民共和国反不正当竞争法》规定由有关部门追究其法律责任。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（5）如果合同的履行将损害国家利益或社会公共利益，甲方有权终止合同的履行，给乙方造成损失的予以相应补偿。</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18.合同转让和分包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18.1 乙方不得以任何形式将合同转包。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18.2 乙方未在投标文件中说明，不得将</w:t>
      </w:r>
      <w:r>
        <w:rPr>
          <w:rStyle w:val="47"/>
          <w:rFonts w:hint="eastAsia" w:ascii="宋体" w:hAnsi="宋体" w:eastAsia="宋体" w:cs="Times New Roman"/>
          <w:bCs/>
          <w:szCs w:val="21"/>
          <w:highlight w:val="none"/>
        </w:rPr>
        <w:t>合同</w:t>
      </w:r>
      <w:r>
        <w:rPr>
          <w:rStyle w:val="47"/>
          <w:rFonts w:hint="eastAsia" w:ascii="宋体" w:hAnsi="宋体" w:eastAsia="宋体" w:cs="Times New Roman"/>
          <w:szCs w:val="21"/>
          <w:highlight w:val="none"/>
        </w:rPr>
        <w:t>的非主体、非关键性工作分包给他人。</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19.不可抗力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19.1 不可抗力是指合同双方不可预见、不可避免、不可克服的自然灾害和社会事件。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19.2 任何一方对由于不可抗力造成的部分或全部不能履行合同不承担违约责任。但迟延履行后发生不可抗力的，不能免除责任。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19.3 遇有不可抗力的一方，应在三日内将事件的情况以书面形式通知另一方，并在事件发生后十日内，向另一方提交合同不能履行或部分不能履行或需要延期履行理由的报告。</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20.解决争议的方法</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20.1 合同各方应通过友好协商，解决在执行合同过程中所发生的或与合同有关的一切争端。如从协商开始后十日内仍不能解决，可以向财政部门提请调解。</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20.2 调解不成可以按</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中约定中规定下列方式之一提起仲裁或诉讼：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（1）向甲方所在地仲裁机构提起仲裁；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（2）向甲方所在地人民法院提起诉讼。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20.3 如仲裁或诉讼事项不影响合同其它部分的履行，则在仲裁或诉讼期间，除正在进行仲裁或诉讼的部分外，合同的其它部分应继续执行。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21.法律适用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21.1 本合同适用中华人民共和国现行法律、行政法规和规章，如合同条款与法律、行政法规和规章不一致的，按照法律、行政法规和规章修改本合同。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22.</w:t>
      </w:r>
      <w:r>
        <w:rPr>
          <w:rStyle w:val="47"/>
          <w:rFonts w:hint="eastAsia" w:ascii="宋体" w:hAnsi="宋体" w:eastAsia="宋体" w:cs="Times New Roman"/>
          <w:b/>
          <w:sz w:val="24"/>
          <w:highlight w:val="none"/>
        </w:rPr>
        <w:t>通知</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22.1本合同一方给另一方的通知均应采用书面形式，传真或快递送到本合同中规定的对方的地址和办理签收手续，</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22.2通知以送到之日或通知书中规定的生效之日起生效，两者中以较迟之日为准。</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23. 合同未尽事项</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23.1合同未尽事项见</w:t>
      </w:r>
      <w:r>
        <w:rPr>
          <w:rStyle w:val="47"/>
          <w:rFonts w:hint="eastAsia" w:ascii="宋体" w:hAnsi="宋体" w:eastAsia="宋体" w:cs="Times New Roman"/>
          <w:b/>
          <w:szCs w:val="21"/>
          <w:highlight w:val="none"/>
        </w:rPr>
        <w:t>【政府采购合同专用条款】。</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24.合同生效</w:t>
      </w:r>
    </w:p>
    <w:p>
      <w:pPr>
        <w:pStyle w:val="196"/>
        <w:autoSpaceDE w:val="0"/>
        <w:autoSpaceDN w:val="0"/>
        <w:adjustRightInd w:val="0"/>
        <w:snapToGrid w:val="0"/>
        <w:spacing w:before="50" w:line="360" w:lineRule="auto"/>
        <w:ind w:firstLine="420" w:firstLineChars="200"/>
        <w:jc w:val="left"/>
        <w:rPr>
          <w:rStyle w:val="47"/>
          <w:rFonts w:hint="eastAsia" w:ascii="黑体" w:hAnsi="黑体" w:eastAsia="黑体" w:cs="Times New Roman"/>
          <w:b/>
          <w:bCs/>
          <w:sz w:val="32"/>
          <w:highlight w:val="none"/>
        </w:rPr>
      </w:pPr>
      <w:r>
        <w:rPr>
          <w:rStyle w:val="47"/>
          <w:rFonts w:hint="eastAsia" w:ascii="宋体" w:hAnsi="宋体" w:eastAsia="宋体" w:cs="Times New Roman"/>
          <w:szCs w:val="21"/>
          <w:highlight w:val="none"/>
        </w:rPr>
        <w:t>24.1 本合同在合同双方签字盖章后生效。</w:t>
      </w:r>
      <w:r>
        <w:rPr>
          <w:rStyle w:val="47"/>
          <w:rFonts w:hint="eastAsia" w:ascii="黑体" w:hAnsi="黑体" w:eastAsia="黑体" w:cs="Times New Roman"/>
          <w:b/>
          <w:bCs/>
          <w:sz w:val="32"/>
          <w:highlight w:val="none"/>
        </w:rPr>
        <w:br w:type="page"/>
      </w:r>
    </w:p>
    <w:p>
      <w:pPr>
        <w:pStyle w:val="136"/>
        <w:adjustRightInd w:val="0"/>
        <w:snapToGrid w:val="0"/>
        <w:jc w:val="center"/>
        <w:rPr>
          <w:rStyle w:val="47"/>
          <w:rFonts w:hint="eastAsia" w:ascii="黑体" w:hAnsi="华文中宋" w:eastAsia="黑体" w:cs="Times New Roman"/>
          <w:sz w:val="28"/>
          <w:szCs w:val="28"/>
          <w:highlight w:val="none"/>
        </w:rPr>
      </w:pPr>
      <w:bookmarkStart w:id="32" w:name="_Toc256000042"/>
      <w:bookmarkStart w:id="33" w:name="_Toc29913947"/>
      <w:r>
        <w:rPr>
          <w:rStyle w:val="47"/>
          <w:rFonts w:hint="eastAsia" w:ascii="黑体" w:hAnsi="华文中宋" w:eastAsia="黑体" w:cs="Times New Roman"/>
          <w:sz w:val="28"/>
          <w:szCs w:val="28"/>
          <w:highlight w:val="none"/>
        </w:rPr>
        <w:t>第三节 政府采购合同专用条款</w:t>
      </w:r>
      <w:bookmarkEnd w:id="32"/>
      <w:bookmarkEnd w:id="33"/>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844"/>
        <w:gridCol w:w="54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double" w:color="auto" w:sz="4"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第1.1款</w:t>
            </w:r>
          </w:p>
        </w:tc>
        <w:tc>
          <w:tcPr>
            <w:tcW w:w="1844" w:type="dxa"/>
            <w:tcBorders>
              <w:top w:val="double" w:color="auto" w:sz="4"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 xml:space="preserve">甲方名称、地址 </w:t>
            </w:r>
          </w:p>
        </w:tc>
        <w:tc>
          <w:tcPr>
            <w:tcW w:w="5468" w:type="dxa"/>
            <w:tcBorders>
              <w:top w:val="double" w:color="auto" w:sz="4"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u w:val="single"/>
              </w:rPr>
            </w:pPr>
            <w:r>
              <w:rPr>
                <w:rStyle w:val="47"/>
                <w:rFonts w:hint="eastAsia" w:ascii="宋体" w:hAnsi="宋体" w:eastAsia="宋体" w:cs="Times New Roman"/>
                <w:szCs w:val="21"/>
                <w:highlight w:val="none"/>
              </w:rPr>
              <w:t>名称：</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地址：</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项目现场</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第5.1款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履行合同的时间、地点及方式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第9.2（1）项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质量保证期</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第9.2（3）项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响应时间</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第13.5款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合同价款支付方式</w:t>
            </w:r>
            <w:r>
              <w:rPr>
                <w:rStyle w:val="47"/>
                <w:rFonts w:hint="eastAsia" w:ascii="宋体" w:hAnsi="宋体" w:eastAsia="宋体" w:cs="Times New Roman"/>
                <w:bCs/>
                <w:szCs w:val="21"/>
                <w:highlight w:val="none"/>
              </w:rPr>
              <w:t>和条件</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第14.2（6）项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乙方提供的其他服务</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第20.2款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解决争议的方式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cs="Times New Roman"/>
                <w:szCs w:val="21"/>
                <w:highlight w:val="none"/>
                <w:lang w:eastAsia="zh-CN"/>
              </w:rPr>
              <w:t>□</w:t>
            </w:r>
            <w:r>
              <w:rPr>
                <w:rStyle w:val="47"/>
                <w:rFonts w:hint="eastAsia" w:ascii="宋体" w:hAnsi="宋体" w:eastAsia="宋体" w:cs="Times New Roman"/>
                <w:szCs w:val="21"/>
                <w:highlight w:val="none"/>
              </w:rPr>
              <w:t xml:space="preserve"> 诉讼</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double" w:color="auto" w:sz="4"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第23.1款</w:t>
            </w:r>
          </w:p>
        </w:tc>
        <w:tc>
          <w:tcPr>
            <w:tcW w:w="1844" w:type="dxa"/>
            <w:tcBorders>
              <w:top w:val="single" w:color="auto" w:sz="6" w:space="0"/>
              <w:left w:val="single" w:color="auto" w:sz="6" w:space="0"/>
              <w:bottom w:val="double" w:color="auto" w:sz="4"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bCs/>
                <w:szCs w:val="21"/>
                <w:highlight w:val="none"/>
              </w:rPr>
              <w:t>合同未尽事项</w:t>
            </w:r>
          </w:p>
        </w:tc>
        <w:tc>
          <w:tcPr>
            <w:tcW w:w="5468" w:type="dxa"/>
            <w:tcBorders>
              <w:top w:val="single" w:color="auto" w:sz="6" w:space="0"/>
              <w:left w:val="single" w:color="auto" w:sz="6" w:space="0"/>
              <w:bottom w:val="double" w:color="auto" w:sz="4" w:space="0"/>
              <w:right w:val="double" w:color="auto" w:sz="4" w:space="0"/>
            </w:tcBorders>
            <w:noWrap w:val="0"/>
            <w:vAlign w:val="center"/>
          </w:tcPr>
          <w:p>
            <w:pPr>
              <w:pStyle w:val="203"/>
              <w:adjustRightInd w:val="0"/>
              <w:snapToGrid w:val="0"/>
              <w:spacing w:line="360" w:lineRule="auto"/>
              <w:jc w:val="left"/>
              <w:rPr>
                <w:rStyle w:val="47"/>
                <w:rFonts w:ascii="宋体" w:hAnsi="宋体"/>
                <w:szCs w:val="21"/>
                <w:highlight w:val="none"/>
                <w:u w:val="single"/>
              </w:rPr>
            </w:pPr>
          </w:p>
        </w:tc>
      </w:tr>
    </w:tbl>
    <w:p>
      <w:pPr>
        <w:rPr>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Style w:val="47"/>
          <w:rFonts w:hint="eastAsia" w:ascii="黑体" w:hAnsi="华文中宋" w:eastAsia="黑体" w:cs="Times New Roman"/>
          <w:b/>
          <w:bCs/>
          <w:kern w:val="0"/>
          <w:sz w:val="28"/>
          <w:szCs w:val="28"/>
          <w:highlight w:val="none"/>
          <w:lang w:val="en-US" w:eastAsia="zh-CN" w:bidi="ar-SA"/>
        </w:rPr>
        <w:t>廉政协议书</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甲方：中国医学科学院皮肤病医院（中国医学科学院皮肤病研究所）</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为贯彻落实中央和地方关于治理商业贿赂文件精神，促进院所党风廉政建设深入开展，进一步规范医院信息化建设中的购销行为，严格执行国家和地方卫生行政主管部门关于集中采购和政府采购的相关规定，防止违反《八项规定》精神和《九项准则》等事件，以及购销领域、信息服务中不正之风的发生，营造公平交易、诚实守信的环境，维护正常的医疗和经营秩序。甲、乙双方特签订廉洁购销协议书。内容如下：</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一、甲方不得以任何方式向乙方索取回扣，不得要求乙方代支任何费用。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二、甲方和工作人员以暗示或其他形式索要回扣、提成、有价证券、现金、信用卡、购物卡等，乙方应予拒绝，并如实向甲方纪检监察部门反映情况。</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三、乙方不得暗中给予甲方和工作人员回扣，不得以提成和赠送有价证券、现金、信用卡、购物卡、宴请、娱乐等手段影响甲方和工作人员对信息系统、网络信息设备、信息服务等的选择权。乙方提供甲方国内或境外学术活动必须按照相关规定办理手续。</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四、乙方为拓展业务进行的商务洽谈，必须在工作时间到甲方指定科室或办公室联系商谈，并严格按照医院《医药代表备案管理制度》执行。乙方为履行合同义务进行的项目对接，可正常现场实施。</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五、乙方如违反以上条款，经核实后，情节轻微，甲方给予乙方警告或暂停采购，并在单位内通报；拒不整改或情节严重的，甲方有权将乙方列入“非诚信交易黑名单”，终止供销合同；涉嫌违法的，由执法部门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六、甲方和工作人员如违反以上条款的，将按国家法律、法规和相关制度给予处理，涉嫌违法的，交由执法部门处理。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七、本协议书作为购销合同的附件，与购销合同一并执行，具有同等的法律效力。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八、本协议书一式两份，甲、乙双方各执</w:t>
      </w:r>
      <w:bookmarkStart w:id="38" w:name="_GoBack"/>
      <w:bookmarkEnd w:id="38"/>
      <w:r>
        <w:rPr>
          <w:rStyle w:val="47"/>
          <w:rFonts w:hint="eastAsia" w:ascii="宋体" w:hAnsi="宋体" w:eastAsia="宋体" w:cs="Times New Roman"/>
          <w:szCs w:val="21"/>
          <w:highlight w:val="none"/>
        </w:rPr>
        <w:t>一份，并从签订之日起生效。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甲方：（盖章）</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乙方：（盖章）</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年    月    日</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年    月    日</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投标文件格式及</w:t>
      </w:r>
      <w:r>
        <w:rPr>
          <w:rFonts w:hint="eastAsia" w:ascii="宋体" w:hAnsi="宋体" w:eastAsia="宋体" w:cs="宋体"/>
          <w:b/>
          <w:bCs/>
          <w:color w:val="auto"/>
          <w:sz w:val="32"/>
          <w:szCs w:val="32"/>
          <w:highlight w:val="none"/>
        </w:rPr>
        <w:t>附件</w:t>
      </w:r>
      <w:bookmarkEnd w:id="27"/>
    </w:p>
    <w:p>
      <w:pPr>
        <w:widowControl/>
        <w:adjustRightInd w:val="0"/>
        <w:spacing w:line="240" w:lineRule="atLeast"/>
        <w:jc w:val="left"/>
        <w:rPr>
          <w:rFonts w:hint="eastAsia" w:ascii="宋体" w:hAnsi="宋体" w:eastAsia="宋体" w:cs="宋体"/>
          <w:b/>
          <w:bCs/>
          <w:color w:val="auto"/>
          <w:szCs w:val="21"/>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/签章</w:t>
      </w:r>
      <w:r>
        <w:rPr>
          <w:rFonts w:hint="eastAsia" w:ascii="宋体" w:hAnsi="宋体" w:eastAsia="宋体" w:cs="宋体"/>
          <w:color w:val="auto"/>
          <w:sz w:val="28"/>
          <w:szCs w:val="28"/>
          <w:highlight w:val="none"/>
        </w:rPr>
        <w:t>）</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beforeLines="100" w:after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（注：供应商根据</w:t>
      </w:r>
      <w:r>
        <w:rPr>
          <w:rFonts w:hint="eastAsia" w:ascii="宋体" w:hAnsi="宋体" w:eastAsia="宋体" w:cs="宋体"/>
          <w:color w:val="auto"/>
          <w:szCs w:val="21"/>
          <w:highlight w:val="none"/>
          <w:lang w:val="en-US" w:eastAsia="zh-CN"/>
        </w:rPr>
        <w:t>本章</w:t>
      </w:r>
      <w:r>
        <w:rPr>
          <w:rFonts w:hint="eastAsia" w:ascii="宋体" w:hAnsi="宋体" w:eastAsia="宋体" w:cs="宋体"/>
          <w:color w:val="auto"/>
          <w:szCs w:val="21"/>
          <w:highlight w:val="none"/>
        </w:rPr>
        <w:t>附件顺序编制投标文件并制作目录（须生成页码））</w:t>
      </w:r>
    </w:p>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1"/>
          <w:highlight w:val="none"/>
        </w:rPr>
        <w:t>附件一、投标申请及声明格式</w:t>
      </w:r>
    </w:p>
    <w:p>
      <w:pPr>
        <w:widowControl/>
        <w:shd w:val="clear" w:color="auto" w:fill="FFFFFF"/>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投标申请及声明</w:t>
      </w:r>
    </w:p>
    <w:p>
      <w:pPr>
        <w:widowControl/>
        <w:shd w:val="clear" w:color="auto" w:fill="FFFFFF"/>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致：江苏省设备成套股份有限公司</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根据贵方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rPr>
        <w:t>项目名称） </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（项目编号）投标邀请，正式授权下述签字人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(姓名和职务)代表投标人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（投标人名称），提交投标文件。</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据此函，签字人兹宣布声明和承诺如下：</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我们的资格条件完全符合政府采购法和本次招标要求</w:t>
      </w:r>
      <w:r>
        <w:rPr>
          <w:rFonts w:hint="eastAsia" w:ascii="宋体" w:hAnsi="宋体" w:eastAsia="宋体" w:cs="宋体"/>
          <w:color w:val="auto"/>
          <w:kern w:val="0"/>
          <w:szCs w:val="21"/>
          <w:highlight w:val="none"/>
        </w:rPr>
        <w:t>，我们同意并向贵方提供了与投标有关的所有证据和资料。</w:t>
      </w:r>
    </w:p>
    <w:p>
      <w:pPr>
        <w:widowControl/>
        <w:shd w:val="clear" w:color="auto" w:fill="FFFFFF"/>
        <w:spacing w:line="400" w:lineRule="exact"/>
        <w:ind w:left="1470" w:hanging="1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2、按招标要求，我们的投标总报价</w:t>
      </w:r>
      <w:r>
        <w:rPr>
          <w:rFonts w:hint="eastAsia" w:ascii="宋体" w:hAnsi="宋体" w:eastAsia="宋体" w:cs="宋体"/>
          <w:color w:val="auto"/>
          <w:kern w:val="0"/>
          <w:szCs w:val="21"/>
          <w:highlight w:val="none"/>
          <w:lang w:val="en-US" w:eastAsia="zh-CN"/>
        </w:rPr>
        <w:t>详见开标一览表</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3、本项目交付时间为：</w:t>
      </w:r>
      <w:r>
        <w:rPr>
          <w:rFonts w:hint="eastAsia" w:ascii="宋体" w:hAnsi="宋体" w:eastAsia="宋体" w:cs="宋体"/>
          <w:color w:val="auto"/>
          <w:kern w:val="0"/>
          <w:szCs w:val="21"/>
          <w:highlight w:val="none"/>
          <w:u w:val="single"/>
        </w:rPr>
        <w:t xml:space="preserve">  满足招标文件要求  </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4、我们已详细阅读全部招标文件及其有效补充文件，我们放弃对招标文件任何误解的权利，提交投标文件后，</w:t>
      </w:r>
      <w:r>
        <w:rPr>
          <w:rFonts w:hint="eastAsia" w:ascii="宋体" w:hAnsi="宋体" w:eastAsia="宋体" w:cs="宋体"/>
          <w:b w:val="0"/>
          <w:bCs w:val="0"/>
          <w:color w:val="auto"/>
          <w:kern w:val="0"/>
          <w:szCs w:val="21"/>
          <w:highlight w:val="none"/>
        </w:rPr>
        <w:t>不对招标文件本身提出质疑</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5、我们同意从规定的开标日期起遵循本投标文件，并在规定的投标有效期期满之前均具有约束力。</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、一旦我方中标，我方将根据招标文件的规定</w:t>
      </w:r>
      <w:r>
        <w:rPr>
          <w:rFonts w:hint="eastAsia" w:ascii="宋体" w:hAnsi="宋体" w:eastAsia="宋体" w:cs="宋体"/>
          <w:color w:val="auto"/>
          <w:kern w:val="0"/>
          <w:szCs w:val="21"/>
          <w:highlight w:val="none"/>
          <w:lang w:val="en-US" w:eastAsia="zh-CN"/>
        </w:rPr>
        <w:t>及我方投标承诺</w:t>
      </w:r>
      <w:r>
        <w:rPr>
          <w:rFonts w:hint="eastAsia" w:ascii="宋体" w:hAnsi="宋体" w:eastAsia="宋体" w:cs="宋体"/>
          <w:color w:val="auto"/>
          <w:kern w:val="0"/>
          <w:szCs w:val="21"/>
          <w:highlight w:val="none"/>
        </w:rPr>
        <w:t>严格履行合同。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、与本投标有关的正式联系方式为：</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投标人授权代表姓名（签字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（盖章）</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hd w:val="clear" w:color="auto" w:fill="FFFFFF"/>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附件二、</w:t>
      </w:r>
      <w:r>
        <w:rPr>
          <w:rFonts w:hint="eastAsia" w:ascii="宋体" w:hAnsi="宋体" w:eastAsia="宋体" w:cs="宋体"/>
          <w:b/>
          <w:bCs/>
          <w:color w:val="auto"/>
          <w:kern w:val="0"/>
          <w:szCs w:val="21"/>
          <w:highlight w:val="none"/>
          <w:lang w:eastAsia="zh-CN"/>
        </w:rPr>
        <w:t>法定代表人授权书</w:t>
      </w:r>
      <w:r>
        <w:rPr>
          <w:rFonts w:hint="eastAsia" w:ascii="宋体" w:hAnsi="宋体" w:eastAsia="宋体" w:cs="宋体"/>
          <w:b/>
          <w:bCs/>
          <w:color w:val="auto"/>
          <w:kern w:val="0"/>
          <w:szCs w:val="21"/>
          <w:highlight w:val="none"/>
        </w:rPr>
        <w:t>格式</w:t>
      </w:r>
    </w:p>
    <w:p>
      <w:pPr>
        <w:widowControl/>
        <w:shd w:val="clear" w:color="auto" w:fill="FFFFFF"/>
        <w:spacing w:line="360" w:lineRule="auto"/>
        <w:ind w:firstLine="720"/>
        <w:jc w:val="center"/>
        <w:rPr>
          <w:rFonts w:hint="eastAsia" w:ascii="宋体" w:hAnsi="宋体" w:eastAsia="宋体" w:cs="宋体"/>
          <w:color w:val="auto"/>
          <w:kern w:val="0"/>
          <w:sz w:val="36"/>
          <w:szCs w:val="36"/>
          <w:highlight w:val="none"/>
        </w:rPr>
      </w:pPr>
    </w:p>
    <w:p>
      <w:pPr>
        <w:widowControl/>
        <w:shd w:val="clear" w:color="auto" w:fill="FFFFFF"/>
        <w:spacing w:line="360" w:lineRule="auto"/>
        <w:ind w:firstLine="7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法定代表人授权书</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致：江苏省设备成套股份有限公司</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本授权书声明：注册于</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（投标人住址）的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（投标人名称）法定代表人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（法定代表人姓名、职务）代表本公司授权在下面签字的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（投标人代表姓名、职务）为本公司的合法代理人，就贵方组织的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（项目编号）投标，以本公司名义处理一切与之有关的事务。</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本授权书于    年  月  日签字生效，特此声明。</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授权人签字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供应商盖章：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pPr>
        <w:widowControl/>
        <w:shd w:val="clear" w:color="auto" w:fill="FFFFFF"/>
        <w:spacing w:line="360" w:lineRule="auto"/>
        <w:ind w:firstLine="840" w:firstLineChars="400"/>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被授权人的身份证的复印件: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rPr>
        <w:br w:type="page"/>
      </w:r>
      <w:bookmarkStart w:id="34" w:name="_Toc26810"/>
      <w:r>
        <w:rPr>
          <w:rFonts w:hint="eastAsia" w:ascii="宋体" w:hAnsi="宋体" w:eastAsia="宋体" w:cs="宋体"/>
          <w:b/>
          <w:bCs/>
          <w:color w:val="auto"/>
          <w:kern w:val="0"/>
          <w:szCs w:val="21"/>
          <w:highlight w:val="none"/>
          <w:lang w:val="zh-CN"/>
        </w:rPr>
        <w:t>附件三、</w:t>
      </w:r>
      <w:bookmarkEnd w:id="34"/>
      <w:r>
        <w:rPr>
          <w:rFonts w:hint="eastAsia" w:ascii="宋体" w:hAnsi="宋体" w:eastAsia="宋体" w:cs="宋体"/>
          <w:b/>
          <w:bCs/>
          <w:color w:val="auto"/>
          <w:kern w:val="0"/>
          <w:szCs w:val="21"/>
          <w:highlight w:val="none"/>
          <w:lang w:val="en-US" w:eastAsia="zh-CN"/>
        </w:rPr>
        <w:t>开标一览表</w:t>
      </w:r>
    </w:p>
    <w:p>
      <w:pPr>
        <w:autoSpaceDE w:val="0"/>
        <w:autoSpaceDN w:val="0"/>
        <w:adjustRightInd w:val="0"/>
        <w:rPr>
          <w:rFonts w:hint="eastAsia" w:ascii="宋体" w:hAnsi="宋体" w:eastAsia="宋体" w:cs="宋体"/>
          <w:b/>
          <w:bCs/>
          <w:color w:val="auto"/>
          <w:highlight w:val="none"/>
          <w:lang w:val="zh-CN"/>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pPr>
        <w:widowControl/>
        <w:shd w:val="clear" w:color="auto" w:fill="FFFFFF"/>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zh-CN"/>
        </w:rPr>
        <w:t xml:space="preserve">               </w:t>
      </w:r>
    </w:p>
    <w:p>
      <w:pPr>
        <w:pStyle w:val="15"/>
        <w:spacing w:line="4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45"/>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投标总价</w:t>
            </w:r>
          </w:p>
        </w:tc>
        <w:tc>
          <w:tcPr>
            <w:tcW w:w="7625"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15"/>
              <w:spacing w:line="440" w:lineRule="exact"/>
              <w:ind w:left="0" w:leftChars="0" w:firstLine="2530" w:firstLineChars="1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投标单价</w:t>
            </w:r>
          </w:p>
        </w:tc>
        <w:tc>
          <w:tcPr>
            <w:tcW w:w="7625"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服务时间/交付使用时间</w:t>
            </w:r>
          </w:p>
        </w:tc>
        <w:tc>
          <w:tcPr>
            <w:tcW w:w="7625" w:type="dxa"/>
            <w:vAlign w:val="center"/>
          </w:tcPr>
          <w:p>
            <w:pPr>
              <w:pStyle w:val="15"/>
              <w:tabs>
                <w:tab w:val="left" w:pos="3624"/>
              </w:tabs>
              <w:spacing w:line="440" w:lineRule="exact"/>
              <w:ind w:firstLine="474" w:firstLineChars="225"/>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投标标的是否全部由小微企业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含视同小微企业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填写“是”或“否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widowControl/>
        <w:numPr>
          <w:ilvl w:val="0"/>
          <w:numId w:val="8"/>
        </w:numPr>
        <w:shd w:val="clear" w:color="auto" w:fill="FFFFFF"/>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本项目仅接受一个价格，不得填报有选择性报价方案。</w:t>
      </w:r>
      <w:r>
        <w:rPr>
          <w:rFonts w:hint="eastAsia" w:ascii="宋体" w:hAnsi="宋体" w:eastAsia="宋体" w:cs="宋体"/>
          <w:b/>
          <w:bCs/>
          <w:color w:val="auto"/>
          <w:kern w:val="0"/>
          <w:szCs w:val="21"/>
          <w:highlight w:val="none"/>
          <w:lang w:val="en-US" w:eastAsia="zh-CN"/>
        </w:rPr>
        <w:t>如</w:t>
      </w:r>
      <w:r>
        <w:rPr>
          <w:rFonts w:hint="eastAsia" w:ascii="宋体" w:hAnsi="宋体" w:eastAsia="宋体" w:cs="宋体"/>
          <w:b/>
          <w:bCs/>
          <w:color w:val="auto"/>
          <w:kern w:val="0"/>
          <w:szCs w:val="21"/>
          <w:highlight w:val="none"/>
        </w:rPr>
        <w:t>有优惠条款须注明，但不得影响报价，影响</w:t>
      </w:r>
      <w:r>
        <w:rPr>
          <w:rFonts w:hint="eastAsia" w:ascii="宋体" w:hAnsi="宋体" w:eastAsia="宋体" w:cs="宋体"/>
          <w:b/>
          <w:bCs/>
          <w:color w:val="auto"/>
          <w:kern w:val="0"/>
          <w:szCs w:val="21"/>
          <w:highlight w:val="none"/>
          <w:lang w:val="en-US" w:eastAsia="zh-CN"/>
        </w:rPr>
        <w:t>项目履约交付</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rPr>
        <w:t>“投标标的是否全部由小微企业提供</w:t>
      </w:r>
      <w:r>
        <w:rPr>
          <w:rFonts w:hint="eastAsia" w:ascii="宋体" w:hAnsi="宋体" w:eastAsia="宋体" w:cs="宋体"/>
          <w:b/>
          <w:bCs/>
          <w:color w:val="auto"/>
          <w:szCs w:val="21"/>
          <w:highlight w:val="none"/>
          <w:lang w:val="zh-CN"/>
        </w:rPr>
        <w:t>”栏内填写“是”或“否”。如填写“是”，</w:t>
      </w:r>
      <w:r>
        <w:rPr>
          <w:rFonts w:hint="eastAsia" w:ascii="宋体" w:hAnsi="宋体" w:eastAsia="宋体" w:cs="宋体"/>
          <w:b/>
          <w:bCs/>
          <w:color w:val="auto"/>
          <w:szCs w:val="21"/>
          <w:highlight w:val="none"/>
        </w:rPr>
        <w:t>投标人应按招标文件要求提供《中小企业声明函》、《残疾人福利性单位声明函》、《属于监狱企业的证明文件》。如未按要求提供、填写，不享受价格扣除。</w:t>
      </w:r>
    </w:p>
    <w:p>
      <w:pPr>
        <w:widowControl/>
        <w:shd w:val="clear" w:color="auto" w:fill="FFFFFF"/>
        <w:spacing w:line="360" w:lineRule="auto"/>
        <w:jc w:val="left"/>
        <w:rPr>
          <w:rFonts w:hint="eastAsia" w:ascii="宋体" w:hAnsi="宋体" w:eastAsia="宋体" w:cs="宋体"/>
          <w:b/>
          <w:bCs/>
          <w:color w:val="auto"/>
          <w:kern w:val="0"/>
          <w:szCs w:val="21"/>
          <w:highlight w:val="none"/>
          <w:lang w:val="zh-CN"/>
        </w:rPr>
      </w:pPr>
      <w:bookmarkStart w:id="35" w:name="_Toc12264"/>
      <w:r>
        <w:rPr>
          <w:rFonts w:hint="eastAsia" w:ascii="宋体" w:hAnsi="宋体" w:eastAsia="宋体" w:cs="宋体"/>
          <w:b/>
          <w:bCs/>
          <w:color w:val="auto"/>
          <w:kern w:val="0"/>
          <w:szCs w:val="21"/>
          <w:highlight w:val="none"/>
          <w:lang w:val="en-US" w:eastAsia="zh-CN"/>
        </w:rPr>
        <w:t>附表</w:t>
      </w:r>
      <w:r>
        <w:rPr>
          <w:rFonts w:hint="eastAsia" w:ascii="宋体" w:hAnsi="宋体" w:eastAsia="宋体" w:cs="宋体"/>
          <w:b/>
          <w:bCs/>
          <w:color w:val="auto"/>
          <w:kern w:val="0"/>
          <w:szCs w:val="21"/>
          <w:highlight w:val="none"/>
          <w:lang w:val="zh-CN"/>
        </w:rPr>
        <w:t>——分项报价表格式</w:t>
      </w:r>
      <w:bookmarkEnd w:id="35"/>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lang w:val="en-US" w:eastAsia="zh-CN"/>
        </w:rPr>
        <w:t>如需要</w:t>
      </w:r>
      <w:r>
        <w:rPr>
          <w:rFonts w:hint="eastAsia" w:ascii="宋体" w:hAnsi="宋体" w:eastAsia="宋体" w:cs="宋体"/>
          <w:b/>
          <w:bCs/>
          <w:color w:val="auto"/>
          <w:kern w:val="0"/>
          <w:szCs w:val="21"/>
          <w:highlight w:val="none"/>
          <w:lang w:val="zh-CN"/>
        </w:rPr>
        <w:t>）</w:t>
      </w:r>
    </w:p>
    <w:p>
      <w:pPr>
        <w:widowControl/>
        <w:adjustRightInd w:val="0"/>
        <w:spacing w:line="240" w:lineRule="atLeast"/>
        <w:jc w:val="left"/>
        <w:rPr>
          <w:rFonts w:hint="eastAsia" w:ascii="宋体" w:hAnsi="宋体" w:eastAsia="宋体" w:cs="宋体"/>
          <w:b/>
          <w:bCs/>
          <w:color w:val="auto"/>
          <w:kern w:val="0"/>
          <w:highlight w:val="none"/>
          <w:lang w:val="zh-CN"/>
        </w:rPr>
      </w:pP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分项报价表</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kern w:val="0"/>
          <w:szCs w:val="21"/>
          <w:highlight w:val="none"/>
          <w:lang w:val="zh-CN"/>
        </w:rPr>
        <w:t>（如果有，格式自拟）</w:t>
      </w:r>
    </w:p>
    <w:p>
      <w:pPr>
        <w:widowControl/>
        <w:shd w:val="clear" w:color="auto" w:fill="FFFFFF"/>
        <w:spacing w:line="360" w:lineRule="auto"/>
        <w:jc w:val="left"/>
        <w:rPr>
          <w:rFonts w:hint="eastAsia" w:ascii="宋体" w:hAnsi="宋体" w:eastAsia="宋体" w:cs="宋体"/>
          <w:color w:val="auto"/>
          <w:kern w:val="0"/>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采购需求偏离表</w:t>
      </w:r>
      <w:r>
        <w:rPr>
          <w:rFonts w:hint="eastAsia" w:ascii="宋体" w:hAnsi="宋体" w:eastAsia="宋体" w:cs="宋体"/>
          <w:b/>
          <w:bCs/>
          <w:color w:val="auto"/>
          <w:kern w:val="0"/>
          <w:szCs w:val="21"/>
          <w:highlight w:val="none"/>
        </w:rPr>
        <w:t>格式</w:t>
      </w:r>
    </w:p>
    <w:p>
      <w:pPr>
        <w:widowControl/>
        <w:shd w:val="clear" w:color="auto" w:fill="FFFFFF"/>
        <w:spacing w:line="360" w:lineRule="auto"/>
        <w:ind w:left="435"/>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36"/>
          <w:szCs w:val="36"/>
          <w:highlight w:val="none"/>
          <w:lang w:eastAsia="zh-CN"/>
        </w:rPr>
        <w:t>采购需求偏离表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tabs>
          <w:tab w:val="left" w:pos="5397"/>
        </w:tabs>
        <w:spacing w:line="360" w:lineRule="auto"/>
        <w:ind w:firstLine="84" w:firstLineChars="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条款内容</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投标文件采购需求部分内容响应存在正偏离或负偏离的，请在本表中逐条列出。未列出的，视为响应招标文件要求。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商务</w:t>
      </w:r>
      <w:r>
        <w:rPr>
          <w:rFonts w:hint="eastAsia" w:ascii="宋体" w:hAnsi="宋体" w:eastAsia="宋体" w:cs="宋体"/>
          <w:b/>
          <w:bCs/>
          <w:color w:val="auto"/>
          <w:kern w:val="0"/>
          <w:szCs w:val="21"/>
          <w:highlight w:val="none"/>
        </w:rPr>
        <w:t>条款偏离表格式</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lang w:val="en-US" w:eastAsia="zh-CN"/>
        </w:rPr>
        <w:t>商务</w:t>
      </w:r>
      <w:r>
        <w:rPr>
          <w:rFonts w:hint="eastAsia" w:ascii="宋体" w:hAnsi="宋体" w:eastAsia="宋体" w:cs="宋体"/>
          <w:b/>
          <w:color w:val="auto"/>
          <w:kern w:val="0"/>
          <w:sz w:val="36"/>
          <w:szCs w:val="36"/>
          <w:highlight w:val="none"/>
        </w:rPr>
        <w:t>条款偏离表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tabs>
          <w:tab w:val="left" w:pos="5366"/>
        </w:tabs>
        <w:spacing w:line="360" w:lineRule="auto"/>
        <w:ind w:firstLine="96" w:firstLineChars="4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条款内容</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投标文件商务部分内容响应存在正偏离或负偏离的，请在本表中逐条列出。未列出的，视为响应招标文件要求。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color w:val="auto"/>
          <w:szCs w:val="21"/>
          <w:highlight w:val="none"/>
          <w:lang w:val="zh-CN"/>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lang w:val="zh-CN"/>
        </w:rPr>
        <w:t>技术说明与服务方案</w:t>
      </w:r>
    </w:p>
    <w:p>
      <w:pPr>
        <w:widowControl/>
        <w:shd w:val="clear" w:color="auto" w:fill="FFFFFF"/>
        <w:spacing w:line="360" w:lineRule="auto"/>
        <w:jc w:val="left"/>
        <w:rPr>
          <w:rFonts w:hint="eastAsia" w:ascii="宋体" w:hAnsi="宋体" w:eastAsia="宋体" w:cs="宋体"/>
          <w:b/>
          <w:color w:val="auto"/>
          <w:szCs w:val="21"/>
          <w:highlight w:val="none"/>
          <w:lang w:val="zh-CN"/>
        </w:rPr>
      </w:pPr>
    </w:p>
    <w:p>
      <w:pPr>
        <w:pStyle w:val="183"/>
        <w:snapToGrid w:val="0"/>
        <w:spacing w:before="0" w:after="0"/>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技术方案及服务承诺应根据</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对项目的要求、评标标准的要求及项目本身的特点编写，内容应包括但不限于以下内容：</w:t>
      </w:r>
    </w:p>
    <w:p>
      <w:pPr>
        <w:pStyle w:val="183"/>
        <w:snapToGrid w:val="0"/>
        <w:spacing w:before="0" w:after="0"/>
        <w:ind w:firstLine="420" w:firstLineChars="200"/>
        <w:rPr>
          <w:rFonts w:hint="eastAsia" w:ascii="宋体" w:hAnsi="宋体" w:eastAsia="宋体" w:cs="宋体"/>
          <w:color w:val="auto"/>
          <w:kern w:val="2"/>
          <w:sz w:val="21"/>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pPr>
        <w:widowControl/>
        <w:adjustRightInd w:val="0"/>
        <w:spacing w:line="460" w:lineRule="atLeast"/>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、拟参与本项目服务人员一览表</w:t>
      </w:r>
    </w:p>
    <w:p>
      <w:pPr>
        <w:widowControl/>
        <w:adjustRightInd w:val="0"/>
        <w:spacing w:line="460" w:lineRule="atLeast"/>
        <w:rPr>
          <w:rFonts w:hint="eastAsia" w:ascii="宋体" w:hAnsi="宋体" w:eastAsia="宋体" w:cs="宋体"/>
          <w:b/>
          <w:bCs/>
          <w:color w:val="auto"/>
          <w:kern w:val="0"/>
          <w:sz w:val="24"/>
          <w:highlight w:val="none"/>
        </w:rPr>
      </w:pPr>
    </w:p>
    <w:p>
      <w:pPr>
        <w:widowControl/>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拟参与本项目服务人员一览表</w:t>
      </w:r>
    </w:p>
    <w:p>
      <w:pPr>
        <w:widowControl/>
        <w:adjustRightInd w:val="0"/>
        <w:jc w:val="center"/>
        <w:rPr>
          <w:rFonts w:hint="eastAsia" w:ascii="宋体" w:hAnsi="宋体" w:eastAsia="宋体" w:cs="宋体"/>
          <w:b/>
          <w:bCs/>
          <w:color w:val="auto"/>
          <w:kern w:val="0"/>
          <w:sz w:val="24"/>
          <w:highlight w:val="none"/>
        </w:rPr>
      </w:pPr>
    </w:p>
    <w:p>
      <w:pPr>
        <w:widowControl/>
        <w:adjustRightIn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                                 项目编号：</w:t>
      </w:r>
    </w:p>
    <w:tbl>
      <w:tblPr>
        <w:tblStyle w:val="45"/>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执业</w:t>
            </w:r>
          </w:p>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rPr>
          <w:rFonts w:hint="eastAsia" w:ascii="宋体" w:hAnsi="宋体" w:eastAsia="宋体" w:cs="宋体"/>
          <w:color w:val="auto"/>
          <w:kern w:val="0"/>
          <w:szCs w:val="21"/>
          <w:highlight w:val="none"/>
        </w:rPr>
      </w:pPr>
    </w:p>
    <w:p>
      <w:pPr>
        <w:widowControl/>
        <w:adjustRightInd w:val="0"/>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 投标人类似业绩情况表</w:t>
      </w:r>
    </w:p>
    <w:p>
      <w:pPr>
        <w:widowControl/>
        <w:adjustRightInd w:val="0"/>
        <w:spacing w:line="360" w:lineRule="auto"/>
        <w:jc w:val="center"/>
        <w:rPr>
          <w:rFonts w:hint="eastAsia" w:ascii="宋体" w:hAnsi="宋体" w:eastAsia="宋体" w:cs="宋体"/>
          <w:b/>
          <w:bCs/>
          <w:color w:val="auto"/>
          <w:kern w:val="0"/>
          <w:sz w:val="24"/>
          <w:highlight w:val="none"/>
        </w:rPr>
      </w:pPr>
    </w:p>
    <w:p>
      <w:pPr>
        <w:widowControl/>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投标人类似业绩情况表</w:t>
      </w:r>
    </w:p>
    <w:tbl>
      <w:tblPr>
        <w:tblStyle w:val="45"/>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签约及服务</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spacing w:line="360" w:lineRule="auto"/>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Cs w:val="21"/>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bCs/>
          <w:color w:val="auto"/>
          <w:highlight w:val="none"/>
        </w:rPr>
        <w:t>：企业声明函格式</w:t>
      </w:r>
      <w:bookmarkStart w:id="36" w:name="OLE_LINK14"/>
      <w:bookmarkStart w:id="37" w:name="OLE_LINK13"/>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中小企业声明函（货物）</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w:t>
      </w:r>
      <w:r>
        <w:rPr>
          <w:rFonts w:hint="eastAsia" w:ascii="Arial" w:hAnsi="Arial" w:cs="Arial"/>
          <w:kern w:val="0"/>
          <w:highlight w:val="none"/>
        </w:rPr>
        <w:t>,</w:t>
      </w:r>
      <w:r>
        <w:rPr>
          <w:rFonts w:hint="eastAsia" w:ascii="宋体" w:hAnsi="宋体" w:cs="Arial"/>
          <w:kern w:val="0"/>
          <w:highlight w:val="none"/>
        </w:rPr>
        <w:t>提供的货物全部由符合政策要求的中小企业制造。相关企业（含联合体中的中小企业、签订分包意向协议的中小企业）的具体情况如下：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1.</w:t>
      </w: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w:t>
      </w:r>
      <w:r>
        <w:rPr>
          <w:rFonts w:hint="eastAsia" w:ascii="Arial" w:hAnsi="Arial" w:cs="Arial"/>
          <w:kern w:val="0"/>
          <w:highlight w:val="none"/>
        </w:rPr>
        <w:t>;</w:t>
      </w:r>
      <w:r>
        <w:rPr>
          <w:rFonts w:hint="eastAsia" w:ascii="宋体" w:hAnsi="宋体" w:cs="Arial"/>
          <w:kern w:val="0"/>
          <w:highlight w:val="none"/>
        </w:rPr>
        <w:t>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u w:val="single"/>
        </w:rPr>
        <w:t>万</w:t>
      </w:r>
      <w:r>
        <w:rPr>
          <w:rFonts w:hint="eastAsia" w:ascii="宋体" w:hAnsi="宋体" w:cs="Arial"/>
          <w:kern w:val="0"/>
          <w:highlight w:val="none"/>
        </w:rPr>
        <w:t>元</w:t>
      </w:r>
      <w:r>
        <w:rPr>
          <w:rFonts w:hint="eastAsia" w:ascii="Arial" w:hAnsi="Arial" w:cs="Arial"/>
          <w:kern w:val="0"/>
          <w:highlight w:val="none"/>
        </w:rPr>
        <w:t>，</w:t>
      </w:r>
      <w:r>
        <w:rPr>
          <w:rFonts w:hint="eastAsia" w:ascii="宋体" w:hAnsi="宋体" w:cs="Arial"/>
          <w:kern w:val="0"/>
          <w:highlight w:val="none"/>
        </w:rPr>
        <w:t>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2.</w:t>
      </w: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hint="eastAsia" w:ascii="Arial" w:hAnsi="Arial" w:cs="Arial"/>
          <w:kern w:val="0"/>
          <w:highlight w:val="none"/>
          <w:lang w:eastAsia="zh-CN"/>
        </w:rPr>
      </w:pPr>
      <w:r>
        <w:rPr>
          <w:rFonts w:hint="eastAsia" w:ascii="宋体" w:hAnsi="宋体" w:cs="Arial"/>
          <w:kern w:val="0"/>
          <w:highlight w:val="none"/>
        </w:rPr>
        <w:t>企业名称（盖章）</w:t>
      </w:r>
      <w:r>
        <w:rPr>
          <w:rFonts w:hint="eastAsia" w:ascii="Arial" w:hAnsi="Arial" w:cs="Arial"/>
          <w:kern w:val="0"/>
          <w:highlight w:val="none"/>
          <w:lang w:eastAsia="zh-CN"/>
        </w:rPr>
        <w:t>：</w:t>
      </w:r>
    </w:p>
    <w:p>
      <w:pPr>
        <w:widowControl/>
        <w:spacing w:line="440" w:lineRule="exact"/>
        <w:ind w:firstLine="420" w:firstLineChars="200"/>
        <w:jc w:val="center"/>
        <w:rPr>
          <w:rFonts w:ascii="Arial" w:hAnsi="Arial" w:cs="Arial"/>
          <w:kern w:val="0"/>
          <w:highlight w:val="none"/>
        </w:r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sectPr>
          <w:footerReference r:id="rId9"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中小企业声明函（工程、服务）</w:t>
      </w: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r>
        <w:rPr>
          <w:rFonts w:hint="eastAsia" w:ascii="Arial" w:hAnsi="Arial" w:cs="Arial"/>
          <w:kern w:val="0"/>
          <w:highlight w:val="none"/>
        </w:rPr>
        <w:tab/>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ascii="Arial" w:hAnsi="Arial" w:cs="Arial"/>
          <w:kern w:val="0"/>
          <w:highlight w:val="none"/>
        </w:rPr>
      </w:pPr>
      <w:r>
        <w:rPr>
          <w:rFonts w:hint="eastAsia" w:ascii="宋体" w:hAnsi="宋体" w:cs="Arial"/>
          <w:kern w:val="0"/>
          <w:highlight w:val="none"/>
        </w:rPr>
        <w:t>企业名称（盖章）：</w:t>
      </w:r>
    </w:p>
    <w:p>
      <w:pPr>
        <w:spacing w:line="360" w:lineRule="auto"/>
        <w:jc w:val="center"/>
        <w:rPr>
          <w:rFonts w:ascii="Arial" w:hAnsi="Arial" w:cs="Arial"/>
          <w:b/>
          <w:bCs/>
          <w:sz w:val="28"/>
          <w:highlight w:val="none"/>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残疾人福利性单位声明函</w:t>
      </w:r>
    </w:p>
    <w:bookmarkEnd w:id="36"/>
    <w:bookmarkEnd w:id="37"/>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本单位对上述声明的真实性负责。如有虚假，将依法承担相应责任。</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单位名称（盖章）：</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属于监狱企业的证明文件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节能产品认证证书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环境标志产品认证证书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进口产品转让技术、消化吸收再创新方案</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（对于允许进口产品参加的项目）</w:t>
      </w:r>
    </w:p>
    <w:p>
      <w:pPr>
        <w:spacing w:line="360" w:lineRule="auto"/>
        <w:rPr>
          <w:rFonts w:hint="eastAsia" w:ascii="宋体" w:hAnsi="宋体" w:eastAsia="宋体" w:cs="宋体"/>
          <w:b/>
          <w:bCs/>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b/>
          <w:color w:val="auto"/>
          <w:highlight w:val="none"/>
        </w:rPr>
        <w:t>附件十、无重大违法记录声明格式</w:t>
      </w:r>
    </w:p>
    <w:p>
      <w:pPr>
        <w:spacing w:line="240" w:lineRule="atLeast"/>
        <w:jc w:val="center"/>
        <w:rPr>
          <w:rFonts w:hint="eastAsia" w:ascii="宋体" w:hAnsi="宋体" w:eastAsia="宋体" w:cs="宋体"/>
          <w:color w:val="auto"/>
          <w:sz w:val="28"/>
          <w:szCs w:val="36"/>
          <w:highlight w:val="none"/>
        </w:rPr>
      </w:pPr>
    </w:p>
    <w:p>
      <w:pPr>
        <w:spacing w:line="24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无重大违法记录声明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江苏省设备成套股份有限公司：</w:t>
      </w:r>
    </w:p>
    <w:p>
      <w:pPr>
        <w:spacing w:line="360" w:lineRule="auto"/>
        <w:rPr>
          <w:rFonts w:hint="eastAsia" w:ascii="宋体" w:hAnsi="宋体" w:eastAsia="宋体" w:cs="宋体"/>
          <w:color w:val="auto"/>
          <w:highlight w:val="none"/>
        </w:rPr>
      </w:pPr>
    </w:p>
    <w:p>
      <w:pPr>
        <w:spacing w:line="360" w:lineRule="auto"/>
        <w:ind w:firstLine="336" w:firstLineChars="160"/>
        <w:rPr>
          <w:rFonts w:hint="eastAsia" w:ascii="宋体" w:hAnsi="宋体" w:eastAsia="宋体" w:cs="宋体"/>
          <w:color w:val="auto"/>
          <w:highlight w:val="none"/>
        </w:rPr>
      </w:pPr>
      <w:r>
        <w:rPr>
          <w:rFonts w:hint="eastAsia" w:ascii="宋体" w:hAnsi="宋体" w:eastAsia="宋体" w:cs="宋体"/>
          <w:color w:val="auto"/>
          <w:highlight w:val="none"/>
        </w:rPr>
        <w:t>我单位（供应商名称）郑重声明：</w:t>
      </w:r>
    </w:p>
    <w:p>
      <w:pPr>
        <w:widowControl/>
        <w:shd w:val="clear" w:color="auto" w:fill="FFFFFF"/>
        <w:spacing w:line="360" w:lineRule="auto"/>
        <w:ind w:firstLine="308" w:firstLineChars="147"/>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我单位</w:t>
      </w:r>
      <w:r>
        <w:rPr>
          <w:rFonts w:hint="eastAsia" w:ascii="宋体" w:hAnsi="宋体" w:eastAsia="宋体" w:cs="宋体"/>
          <w:color w:val="auto"/>
          <w:highlight w:val="none"/>
        </w:rPr>
        <w:t>参加政府采购活动前3年内在经营活动中（</w:t>
      </w:r>
      <w:r>
        <w:rPr>
          <w:rFonts w:hint="eastAsia" w:ascii="宋体" w:hAnsi="宋体" w:eastAsia="宋体" w:cs="宋体"/>
          <w:b/>
          <w:i/>
          <w:color w:val="auto"/>
          <w:highlight w:val="none"/>
          <w:u w:val="single"/>
        </w:rPr>
        <w:t>在下划线上如实填写：有或没有</w:t>
      </w:r>
      <w:r>
        <w:rPr>
          <w:rFonts w:hint="eastAsia" w:ascii="宋体" w:hAnsi="宋体" w:eastAsia="宋体" w:cs="宋体"/>
          <w:color w:val="auto"/>
          <w:highlight w:val="none"/>
        </w:rPr>
        <w:t>）</w:t>
      </w:r>
      <w:r>
        <w:rPr>
          <w:rFonts w:hint="eastAsia" w:ascii="宋体" w:hAnsi="宋体" w:eastAsia="宋体" w:cs="宋体"/>
          <w:b/>
          <w:color w:val="auto"/>
          <w:highlight w:val="none"/>
        </w:rPr>
        <w:t>重大违法记录</w:t>
      </w:r>
      <w:r>
        <w:rPr>
          <w:rFonts w:hint="eastAsia" w:ascii="宋体" w:hAnsi="宋体" w:eastAsia="宋体" w:cs="宋体"/>
          <w:b/>
          <w:color w:val="auto"/>
          <w:kern w:val="0"/>
          <w:szCs w:val="21"/>
          <w:highlight w:val="none"/>
        </w:rPr>
        <w:t>，且不是失信被执行人、重大税收违法案件当事人名单、政府采购严重违法失信行为记录名单的供应商。</w:t>
      </w:r>
    </w:p>
    <w:p>
      <w:pPr>
        <w:spacing w:line="360" w:lineRule="auto"/>
        <w:ind w:firstLine="420" w:firstLineChars="200"/>
        <w:rPr>
          <w:rFonts w:hint="eastAsia" w:ascii="宋体" w:hAnsi="宋体" w:eastAsia="宋体" w:cs="宋体"/>
          <w:color w:val="auto"/>
          <w:highlight w:val="none"/>
        </w:rPr>
      </w:pP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103" w:firstLineChars="2430"/>
        <w:rPr>
          <w:rFonts w:hint="eastAsia" w:ascii="宋体" w:hAnsi="宋体" w:eastAsia="宋体" w:cs="宋体"/>
          <w:color w:val="auto"/>
          <w:highlight w:val="none"/>
        </w:rPr>
      </w:pPr>
      <w:r>
        <w:rPr>
          <w:rFonts w:hint="eastAsia" w:ascii="宋体" w:hAnsi="宋体" w:eastAsia="宋体" w:cs="宋体"/>
          <w:color w:val="auto"/>
          <w:highlight w:val="none"/>
        </w:rPr>
        <w:t>声明人：（公章）</w:t>
      </w:r>
    </w:p>
    <w:p>
      <w:pPr>
        <w:autoSpaceDE w:val="0"/>
        <w:autoSpaceDN w:val="0"/>
        <w:adjustRightInd w:val="0"/>
        <w:spacing w:line="360" w:lineRule="auto"/>
        <w:ind w:firstLine="5040" w:firstLineChars="2400"/>
        <w:rPr>
          <w:rFonts w:hint="eastAsia" w:ascii="宋体" w:hAnsi="宋体" w:eastAsia="宋体" w:cs="宋体"/>
          <w:b/>
          <w:color w:val="auto"/>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b/>
          <w:color w:val="auto"/>
          <w:szCs w:val="21"/>
          <w:highlight w:val="none"/>
          <w:lang w:val="zh-CN"/>
        </w:rPr>
        <w:br w:type="page"/>
      </w: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资格资信证明文件</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 联合体协议及联合体授权委托书（如允许联合体）</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lang w:val="en-US"/>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投标保证金缴纳凭证（如有）</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autoSpaceDN/>
        <w:adjustRightInd/>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autoSpaceDE w:val="0"/>
        <w:autoSpaceDN w:val="0"/>
        <w:adjustRightInd w:val="0"/>
        <w:spacing w:line="360" w:lineRule="auto"/>
        <w:rPr>
          <w:rFonts w:hint="eastAsia" w:ascii="宋体" w:hAnsi="宋体" w:cs="宋体"/>
          <w:b/>
          <w:color w:val="auto"/>
          <w:highlight w:val="none"/>
          <w:lang w:val="en-US" w:eastAsia="zh-CN"/>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质保承诺书</w:t>
      </w: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default"/>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根据招标文件的要求，我司承诺所提供的樟脑（天然）原辅料及供货服务、质保服务满足贵单位的要求。</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cs="宋体"/>
          <w:b w:val="0"/>
          <w:color w:val="auto"/>
          <w:highlight w:val="none"/>
          <w:lang w:val="en-US" w:eastAsia="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default" w:ascii="宋体" w:hAnsi="宋体" w:cs="宋体"/>
          <w:b/>
          <w:color w:val="auto"/>
          <w:highlight w:val="none"/>
          <w:lang w:val="en-US" w:eastAsia="zh-CN"/>
        </w:rPr>
      </w:pPr>
      <w:r>
        <w:rPr>
          <w:rFonts w:hint="default" w:ascii="宋体" w:hAnsi="宋体" w:cs="宋体"/>
          <w:b/>
          <w:color w:val="auto"/>
          <w:highlight w:val="none"/>
          <w:lang w:val="en-US" w:eastAsia="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供货量承诺书</w:t>
      </w: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根据招标文件的要求，我司承诺具备向贵单位提供500kg/年樟脑（天然）原辅料的能力。</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spacing w:line="360" w:lineRule="auto"/>
        <w:ind w:firstLine="5103" w:firstLineChars="2430"/>
        <w:jc w:val="righ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pPr>
        <w:pStyle w:val="3"/>
        <w:rPr>
          <w:rFonts w:hint="eastAsia" w:ascii="Times New Roman" w:hAnsi="Times New Roman" w:cs="Times New Roman"/>
          <w:b/>
          <w:highlight w:val="none"/>
          <w:lang w:val="en-US" w:eastAsia="zh-CN"/>
        </w:rPr>
      </w:pPr>
    </w:p>
    <w:sectPr>
      <w:footerReference r:id="rId10"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AoOq4BAABL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DECg6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oFKK4BAABMAwAADgAAAGRycy9lMm9Eb2MueG1srVPNahsxEL4H8g5C&#10;91hrQ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egUorgEAAEw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6"/>
      <w:isLgl/>
      <w:lvlText w:val="%1.%2"/>
      <w:lvlJc w:val="left"/>
      <w:pPr>
        <w:ind w:left="425" w:hanging="425"/>
      </w:pPr>
      <w:rPr>
        <w:rFonts w:hint="eastAsia" w:ascii="Arial Unicode MS" w:hAnsi="Arial Unicode MS" w:eastAsia="微软雅黑"/>
        <w:b/>
        <w:i w:val="0"/>
      </w:rPr>
    </w:lvl>
    <w:lvl w:ilvl="2" w:tentative="0">
      <w:start w:val="1"/>
      <w:numFmt w:val="decimal"/>
      <w:pStyle w:val="180"/>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139F73F4"/>
    <w:multiLevelType w:val="singleLevel"/>
    <w:tmpl w:val="139F73F4"/>
    <w:lvl w:ilvl="0" w:tentative="0">
      <w:start w:val="5"/>
      <w:numFmt w:val="chineseCounting"/>
      <w:suff w:val="space"/>
      <w:lvlText w:val="第%1章"/>
      <w:lvlJc w:val="left"/>
      <w:rPr>
        <w:rFonts w:hint="eastAsia"/>
      </w:rPr>
    </w:lvl>
  </w:abstractNum>
  <w:abstractNum w:abstractNumId="4">
    <w:nsid w:val="3B74F010"/>
    <w:multiLevelType w:val="singleLevel"/>
    <w:tmpl w:val="3B74F010"/>
    <w:lvl w:ilvl="0" w:tentative="0">
      <w:start w:val="1"/>
      <w:numFmt w:val="decimal"/>
      <w:lvlText w:val="(%1)"/>
      <w:lvlJc w:val="left"/>
      <w:pPr>
        <w:tabs>
          <w:tab w:val="left" w:pos="312"/>
        </w:tabs>
      </w:pPr>
    </w:lvl>
  </w:abstractNum>
  <w:abstractNum w:abstractNumId="5">
    <w:nsid w:val="4EB2FB0A"/>
    <w:multiLevelType w:val="singleLevel"/>
    <w:tmpl w:val="4EB2FB0A"/>
    <w:lvl w:ilvl="0" w:tentative="0">
      <w:start w:val="1"/>
      <w:numFmt w:val="decimal"/>
      <w:lvlText w:val="%1."/>
      <w:lvlJc w:val="left"/>
      <w:pPr>
        <w:tabs>
          <w:tab w:val="left" w:pos="312"/>
        </w:tabs>
      </w:pPr>
    </w:lvl>
  </w:abstractNum>
  <w:abstractNum w:abstractNumId="6">
    <w:nsid w:val="5915610C"/>
    <w:multiLevelType w:val="singleLevel"/>
    <w:tmpl w:val="5915610C"/>
    <w:lvl w:ilvl="0" w:tentative="0">
      <w:start w:val="1"/>
      <w:numFmt w:val="decimal"/>
      <w:suff w:val="nothing"/>
      <w:lvlText w:val="%1、"/>
      <w:lvlJc w:val="left"/>
    </w:lvl>
  </w:abstractNum>
  <w:abstractNum w:abstractNumId="7">
    <w:nsid w:val="753C46E4"/>
    <w:multiLevelType w:val="singleLevel"/>
    <w:tmpl w:val="753C46E4"/>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I1Y2VkNzRkZDE4NzBjYTAzMDUzMmMwZjNhYWI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4336"/>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62C09"/>
    <w:rsid w:val="014F1B49"/>
    <w:rsid w:val="0161201C"/>
    <w:rsid w:val="01674AD8"/>
    <w:rsid w:val="017B15F7"/>
    <w:rsid w:val="019B2A51"/>
    <w:rsid w:val="01BB069A"/>
    <w:rsid w:val="01D83F2D"/>
    <w:rsid w:val="01EE6DBE"/>
    <w:rsid w:val="020E7F3F"/>
    <w:rsid w:val="02102EA5"/>
    <w:rsid w:val="021A6004"/>
    <w:rsid w:val="022E08B9"/>
    <w:rsid w:val="023A07E4"/>
    <w:rsid w:val="02423E6A"/>
    <w:rsid w:val="0248346E"/>
    <w:rsid w:val="025D291A"/>
    <w:rsid w:val="027202B1"/>
    <w:rsid w:val="02721F48"/>
    <w:rsid w:val="02805163"/>
    <w:rsid w:val="02815E8D"/>
    <w:rsid w:val="02D978BB"/>
    <w:rsid w:val="02E41BF4"/>
    <w:rsid w:val="02F07CB0"/>
    <w:rsid w:val="030D75EF"/>
    <w:rsid w:val="031168BC"/>
    <w:rsid w:val="03426C59"/>
    <w:rsid w:val="03433AF1"/>
    <w:rsid w:val="03501AE4"/>
    <w:rsid w:val="035167B9"/>
    <w:rsid w:val="0360475E"/>
    <w:rsid w:val="03716722"/>
    <w:rsid w:val="037B4D37"/>
    <w:rsid w:val="037D1BEA"/>
    <w:rsid w:val="038C028C"/>
    <w:rsid w:val="038F0DD1"/>
    <w:rsid w:val="039744EC"/>
    <w:rsid w:val="039B623A"/>
    <w:rsid w:val="03AE1140"/>
    <w:rsid w:val="03B44AA5"/>
    <w:rsid w:val="03FE786C"/>
    <w:rsid w:val="040020A7"/>
    <w:rsid w:val="04157BCF"/>
    <w:rsid w:val="042E6475"/>
    <w:rsid w:val="04473247"/>
    <w:rsid w:val="04497B73"/>
    <w:rsid w:val="044D2B93"/>
    <w:rsid w:val="04833676"/>
    <w:rsid w:val="04930DBB"/>
    <w:rsid w:val="04A2371F"/>
    <w:rsid w:val="04A53BA4"/>
    <w:rsid w:val="04AA1834"/>
    <w:rsid w:val="04D17C83"/>
    <w:rsid w:val="04DF3F87"/>
    <w:rsid w:val="04E15319"/>
    <w:rsid w:val="04E374DE"/>
    <w:rsid w:val="04FF00EB"/>
    <w:rsid w:val="04FF42BF"/>
    <w:rsid w:val="0501459E"/>
    <w:rsid w:val="050A590B"/>
    <w:rsid w:val="05175FCF"/>
    <w:rsid w:val="052263A0"/>
    <w:rsid w:val="05332A3A"/>
    <w:rsid w:val="05350D05"/>
    <w:rsid w:val="054E23E8"/>
    <w:rsid w:val="05586075"/>
    <w:rsid w:val="056669E9"/>
    <w:rsid w:val="058E5789"/>
    <w:rsid w:val="059C5E7A"/>
    <w:rsid w:val="059F3F35"/>
    <w:rsid w:val="05AB2DB2"/>
    <w:rsid w:val="05C127AF"/>
    <w:rsid w:val="05C342DE"/>
    <w:rsid w:val="05D56659"/>
    <w:rsid w:val="05E84783"/>
    <w:rsid w:val="05EB76F4"/>
    <w:rsid w:val="05EC4B85"/>
    <w:rsid w:val="05F56B6A"/>
    <w:rsid w:val="05F7106C"/>
    <w:rsid w:val="06027766"/>
    <w:rsid w:val="06305727"/>
    <w:rsid w:val="06322461"/>
    <w:rsid w:val="063475AA"/>
    <w:rsid w:val="06647C6C"/>
    <w:rsid w:val="06665E33"/>
    <w:rsid w:val="06936D88"/>
    <w:rsid w:val="06A31CA0"/>
    <w:rsid w:val="06D31947"/>
    <w:rsid w:val="06D9153A"/>
    <w:rsid w:val="06D92562"/>
    <w:rsid w:val="06E760D7"/>
    <w:rsid w:val="06EA54F3"/>
    <w:rsid w:val="06F174FD"/>
    <w:rsid w:val="06F650AE"/>
    <w:rsid w:val="07075B45"/>
    <w:rsid w:val="070A76BD"/>
    <w:rsid w:val="072E5643"/>
    <w:rsid w:val="073D0D18"/>
    <w:rsid w:val="073D7196"/>
    <w:rsid w:val="07504429"/>
    <w:rsid w:val="07612720"/>
    <w:rsid w:val="076A60B4"/>
    <w:rsid w:val="07792B42"/>
    <w:rsid w:val="077C2846"/>
    <w:rsid w:val="077E3D0B"/>
    <w:rsid w:val="078C511B"/>
    <w:rsid w:val="078D2D8A"/>
    <w:rsid w:val="07B6742A"/>
    <w:rsid w:val="07BE2A34"/>
    <w:rsid w:val="07D43E3E"/>
    <w:rsid w:val="07DF1893"/>
    <w:rsid w:val="07E53F70"/>
    <w:rsid w:val="07F03CBF"/>
    <w:rsid w:val="07F42B67"/>
    <w:rsid w:val="080D0CE3"/>
    <w:rsid w:val="08595E7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8274FD"/>
    <w:rsid w:val="09F8752F"/>
    <w:rsid w:val="0A0D439F"/>
    <w:rsid w:val="0A0F0D09"/>
    <w:rsid w:val="0A1D4600"/>
    <w:rsid w:val="0A1F68B2"/>
    <w:rsid w:val="0A210F95"/>
    <w:rsid w:val="0A2836E0"/>
    <w:rsid w:val="0A29194C"/>
    <w:rsid w:val="0A593073"/>
    <w:rsid w:val="0A8E5529"/>
    <w:rsid w:val="0AB44EF5"/>
    <w:rsid w:val="0AC159A6"/>
    <w:rsid w:val="0ADE169A"/>
    <w:rsid w:val="0AE34BB1"/>
    <w:rsid w:val="0AED0B6E"/>
    <w:rsid w:val="0B4B7099"/>
    <w:rsid w:val="0B747542"/>
    <w:rsid w:val="0B9E1A60"/>
    <w:rsid w:val="0BAD70EA"/>
    <w:rsid w:val="0BE60C5C"/>
    <w:rsid w:val="0BEA4D62"/>
    <w:rsid w:val="0BEF49D1"/>
    <w:rsid w:val="0C296CAE"/>
    <w:rsid w:val="0C3367BD"/>
    <w:rsid w:val="0C365370"/>
    <w:rsid w:val="0C437410"/>
    <w:rsid w:val="0C442C80"/>
    <w:rsid w:val="0C4B30F1"/>
    <w:rsid w:val="0C507D32"/>
    <w:rsid w:val="0C6F3E42"/>
    <w:rsid w:val="0C7376A8"/>
    <w:rsid w:val="0C801F53"/>
    <w:rsid w:val="0C8076E1"/>
    <w:rsid w:val="0CA97841"/>
    <w:rsid w:val="0CF22F65"/>
    <w:rsid w:val="0CFD3771"/>
    <w:rsid w:val="0D001BEA"/>
    <w:rsid w:val="0D0A7F77"/>
    <w:rsid w:val="0D141A4E"/>
    <w:rsid w:val="0D4D0748"/>
    <w:rsid w:val="0D5F5515"/>
    <w:rsid w:val="0D8943DC"/>
    <w:rsid w:val="0D8A04E4"/>
    <w:rsid w:val="0D932BB8"/>
    <w:rsid w:val="0D98461B"/>
    <w:rsid w:val="0DB904D9"/>
    <w:rsid w:val="0DBB0918"/>
    <w:rsid w:val="0DDF797E"/>
    <w:rsid w:val="0DE25782"/>
    <w:rsid w:val="0DEE271A"/>
    <w:rsid w:val="0DF148E8"/>
    <w:rsid w:val="0E210D90"/>
    <w:rsid w:val="0E280BF1"/>
    <w:rsid w:val="0E2A2732"/>
    <w:rsid w:val="0E2E40B0"/>
    <w:rsid w:val="0E2F7B01"/>
    <w:rsid w:val="0E4B5699"/>
    <w:rsid w:val="0E512E80"/>
    <w:rsid w:val="0E6E1A32"/>
    <w:rsid w:val="0E915BD0"/>
    <w:rsid w:val="0ECB3A00"/>
    <w:rsid w:val="0ECD4128"/>
    <w:rsid w:val="0EF05635"/>
    <w:rsid w:val="0F0913A4"/>
    <w:rsid w:val="0F360DD3"/>
    <w:rsid w:val="0F3B1568"/>
    <w:rsid w:val="0F6B1793"/>
    <w:rsid w:val="0F7B5DFB"/>
    <w:rsid w:val="0FF37EF3"/>
    <w:rsid w:val="0FFE4C46"/>
    <w:rsid w:val="10003697"/>
    <w:rsid w:val="10064480"/>
    <w:rsid w:val="100930B7"/>
    <w:rsid w:val="10156FD1"/>
    <w:rsid w:val="10371F2F"/>
    <w:rsid w:val="105A6D80"/>
    <w:rsid w:val="107B23CF"/>
    <w:rsid w:val="107E1871"/>
    <w:rsid w:val="10824E25"/>
    <w:rsid w:val="10BD5626"/>
    <w:rsid w:val="10C85301"/>
    <w:rsid w:val="10F5099F"/>
    <w:rsid w:val="11046680"/>
    <w:rsid w:val="11302F10"/>
    <w:rsid w:val="11342DC2"/>
    <w:rsid w:val="11423CF0"/>
    <w:rsid w:val="11443554"/>
    <w:rsid w:val="1159255C"/>
    <w:rsid w:val="115D038D"/>
    <w:rsid w:val="116741A8"/>
    <w:rsid w:val="11887A9E"/>
    <w:rsid w:val="119E030F"/>
    <w:rsid w:val="11AC3296"/>
    <w:rsid w:val="11BF3764"/>
    <w:rsid w:val="11BF5D6D"/>
    <w:rsid w:val="11CD7E08"/>
    <w:rsid w:val="11EF6486"/>
    <w:rsid w:val="11F74F54"/>
    <w:rsid w:val="11F75962"/>
    <w:rsid w:val="11FC0451"/>
    <w:rsid w:val="11FC37F3"/>
    <w:rsid w:val="120C4EB8"/>
    <w:rsid w:val="122D760A"/>
    <w:rsid w:val="12311F5A"/>
    <w:rsid w:val="123928EA"/>
    <w:rsid w:val="12427601"/>
    <w:rsid w:val="125944FB"/>
    <w:rsid w:val="12624EB7"/>
    <w:rsid w:val="1282388F"/>
    <w:rsid w:val="128572E6"/>
    <w:rsid w:val="128A0F8B"/>
    <w:rsid w:val="129139EE"/>
    <w:rsid w:val="12B26461"/>
    <w:rsid w:val="12D228CA"/>
    <w:rsid w:val="12E17A72"/>
    <w:rsid w:val="12F36759"/>
    <w:rsid w:val="1300045E"/>
    <w:rsid w:val="130A6921"/>
    <w:rsid w:val="133D024F"/>
    <w:rsid w:val="133D6D87"/>
    <w:rsid w:val="13716BB4"/>
    <w:rsid w:val="13821EE1"/>
    <w:rsid w:val="13890B9C"/>
    <w:rsid w:val="13CB4137"/>
    <w:rsid w:val="13D11AEC"/>
    <w:rsid w:val="13F27FD8"/>
    <w:rsid w:val="13F74970"/>
    <w:rsid w:val="13FA3C10"/>
    <w:rsid w:val="14197590"/>
    <w:rsid w:val="141C7AF8"/>
    <w:rsid w:val="142D5867"/>
    <w:rsid w:val="14311C3C"/>
    <w:rsid w:val="1435596B"/>
    <w:rsid w:val="14A05CEA"/>
    <w:rsid w:val="14BA7BD0"/>
    <w:rsid w:val="14BE0DA8"/>
    <w:rsid w:val="14DF2DE8"/>
    <w:rsid w:val="14E20E88"/>
    <w:rsid w:val="14E71B9C"/>
    <w:rsid w:val="14ED24C4"/>
    <w:rsid w:val="14FE6E45"/>
    <w:rsid w:val="15030DD2"/>
    <w:rsid w:val="151246C1"/>
    <w:rsid w:val="15300534"/>
    <w:rsid w:val="153E0C9F"/>
    <w:rsid w:val="15430081"/>
    <w:rsid w:val="1549179A"/>
    <w:rsid w:val="155855A0"/>
    <w:rsid w:val="15760A82"/>
    <w:rsid w:val="15885993"/>
    <w:rsid w:val="15943580"/>
    <w:rsid w:val="159F71E4"/>
    <w:rsid w:val="15DA54BE"/>
    <w:rsid w:val="15DE1A29"/>
    <w:rsid w:val="1683774E"/>
    <w:rsid w:val="16883ABF"/>
    <w:rsid w:val="169E756C"/>
    <w:rsid w:val="16AA3EEF"/>
    <w:rsid w:val="16BB65F1"/>
    <w:rsid w:val="16C30E50"/>
    <w:rsid w:val="16DF70C3"/>
    <w:rsid w:val="16E36A8E"/>
    <w:rsid w:val="170F2067"/>
    <w:rsid w:val="17174321"/>
    <w:rsid w:val="172D5F9D"/>
    <w:rsid w:val="17382C6C"/>
    <w:rsid w:val="17441AAD"/>
    <w:rsid w:val="179B6B26"/>
    <w:rsid w:val="17B07A9D"/>
    <w:rsid w:val="17B2733D"/>
    <w:rsid w:val="17D32110"/>
    <w:rsid w:val="17E241A7"/>
    <w:rsid w:val="17EF333D"/>
    <w:rsid w:val="17F736BA"/>
    <w:rsid w:val="18076558"/>
    <w:rsid w:val="180B1C8C"/>
    <w:rsid w:val="180C4A61"/>
    <w:rsid w:val="18113E0B"/>
    <w:rsid w:val="1856228A"/>
    <w:rsid w:val="18655549"/>
    <w:rsid w:val="189D5730"/>
    <w:rsid w:val="18AE6BDF"/>
    <w:rsid w:val="18BC41FE"/>
    <w:rsid w:val="18CC72FE"/>
    <w:rsid w:val="18D255E8"/>
    <w:rsid w:val="18E73115"/>
    <w:rsid w:val="190A6030"/>
    <w:rsid w:val="190F04DE"/>
    <w:rsid w:val="191206D3"/>
    <w:rsid w:val="192E2BD3"/>
    <w:rsid w:val="19362545"/>
    <w:rsid w:val="197B5636"/>
    <w:rsid w:val="198D30EC"/>
    <w:rsid w:val="19E72D0D"/>
    <w:rsid w:val="1A1018EC"/>
    <w:rsid w:val="1A200C49"/>
    <w:rsid w:val="1A2C7C12"/>
    <w:rsid w:val="1A382E26"/>
    <w:rsid w:val="1A5C16D9"/>
    <w:rsid w:val="1A5C6D63"/>
    <w:rsid w:val="1A7636B6"/>
    <w:rsid w:val="1A7B17BE"/>
    <w:rsid w:val="1A967D95"/>
    <w:rsid w:val="1A9F1BD5"/>
    <w:rsid w:val="1ACF237A"/>
    <w:rsid w:val="1AD25EC1"/>
    <w:rsid w:val="1AE133EF"/>
    <w:rsid w:val="1AEF4DAE"/>
    <w:rsid w:val="1AF77FAB"/>
    <w:rsid w:val="1AFB020E"/>
    <w:rsid w:val="1B233981"/>
    <w:rsid w:val="1B3A1E57"/>
    <w:rsid w:val="1B492FF3"/>
    <w:rsid w:val="1B4950A4"/>
    <w:rsid w:val="1B4978E9"/>
    <w:rsid w:val="1B556620"/>
    <w:rsid w:val="1B9B2757"/>
    <w:rsid w:val="1BA324C2"/>
    <w:rsid w:val="1BA61267"/>
    <w:rsid w:val="1BAF2B44"/>
    <w:rsid w:val="1BDA42D2"/>
    <w:rsid w:val="1BFB746E"/>
    <w:rsid w:val="1C1C144E"/>
    <w:rsid w:val="1C2663BF"/>
    <w:rsid w:val="1C36433C"/>
    <w:rsid w:val="1C376E21"/>
    <w:rsid w:val="1C607E4F"/>
    <w:rsid w:val="1C721035"/>
    <w:rsid w:val="1C887DF5"/>
    <w:rsid w:val="1C89288A"/>
    <w:rsid w:val="1C9B1370"/>
    <w:rsid w:val="1CA47846"/>
    <w:rsid w:val="1CD565D5"/>
    <w:rsid w:val="1CDF6675"/>
    <w:rsid w:val="1CEF14EF"/>
    <w:rsid w:val="1CF43006"/>
    <w:rsid w:val="1D077570"/>
    <w:rsid w:val="1D325942"/>
    <w:rsid w:val="1D3E15B7"/>
    <w:rsid w:val="1D672B1F"/>
    <w:rsid w:val="1D8B3670"/>
    <w:rsid w:val="1DA73124"/>
    <w:rsid w:val="1DAE0556"/>
    <w:rsid w:val="1DB1270C"/>
    <w:rsid w:val="1DB67C12"/>
    <w:rsid w:val="1DD50B1E"/>
    <w:rsid w:val="1E060554"/>
    <w:rsid w:val="1E0F6E32"/>
    <w:rsid w:val="1E10660A"/>
    <w:rsid w:val="1E415560"/>
    <w:rsid w:val="1E5D18EA"/>
    <w:rsid w:val="1E604A81"/>
    <w:rsid w:val="1E706AC5"/>
    <w:rsid w:val="1E706D9C"/>
    <w:rsid w:val="1E71495E"/>
    <w:rsid w:val="1E841A5F"/>
    <w:rsid w:val="1EA33881"/>
    <w:rsid w:val="1EA40105"/>
    <w:rsid w:val="1EA972F9"/>
    <w:rsid w:val="1EBC6306"/>
    <w:rsid w:val="1EBC7CC4"/>
    <w:rsid w:val="1EC665E8"/>
    <w:rsid w:val="1EDC6093"/>
    <w:rsid w:val="1F14468F"/>
    <w:rsid w:val="1F524DE1"/>
    <w:rsid w:val="1F69585D"/>
    <w:rsid w:val="1F6B38B0"/>
    <w:rsid w:val="1FA33D3F"/>
    <w:rsid w:val="1FCE727B"/>
    <w:rsid w:val="1FD0749B"/>
    <w:rsid w:val="1FE35ADC"/>
    <w:rsid w:val="1FF87B76"/>
    <w:rsid w:val="201F4E21"/>
    <w:rsid w:val="2028225A"/>
    <w:rsid w:val="203A5CDB"/>
    <w:rsid w:val="206823A1"/>
    <w:rsid w:val="207A43DF"/>
    <w:rsid w:val="207F6629"/>
    <w:rsid w:val="20952E68"/>
    <w:rsid w:val="20B24112"/>
    <w:rsid w:val="20CB4F5C"/>
    <w:rsid w:val="20D91DD8"/>
    <w:rsid w:val="20DD5762"/>
    <w:rsid w:val="20EE43F2"/>
    <w:rsid w:val="20F301B2"/>
    <w:rsid w:val="20F716A2"/>
    <w:rsid w:val="20F903BB"/>
    <w:rsid w:val="20FF3E96"/>
    <w:rsid w:val="21011A51"/>
    <w:rsid w:val="21096B24"/>
    <w:rsid w:val="210B25F8"/>
    <w:rsid w:val="211E2099"/>
    <w:rsid w:val="21201590"/>
    <w:rsid w:val="2123675E"/>
    <w:rsid w:val="215E04F7"/>
    <w:rsid w:val="21637A27"/>
    <w:rsid w:val="216C08BA"/>
    <w:rsid w:val="21A665AD"/>
    <w:rsid w:val="21B33C19"/>
    <w:rsid w:val="21BB34D8"/>
    <w:rsid w:val="21CA2EF1"/>
    <w:rsid w:val="21D722C1"/>
    <w:rsid w:val="21DF24FF"/>
    <w:rsid w:val="22136A87"/>
    <w:rsid w:val="222C0C93"/>
    <w:rsid w:val="224B3D5F"/>
    <w:rsid w:val="2258252F"/>
    <w:rsid w:val="225E4F1E"/>
    <w:rsid w:val="2270301C"/>
    <w:rsid w:val="228F63A9"/>
    <w:rsid w:val="22A177E6"/>
    <w:rsid w:val="22E6677E"/>
    <w:rsid w:val="231D3794"/>
    <w:rsid w:val="233236E3"/>
    <w:rsid w:val="233B768D"/>
    <w:rsid w:val="2346752C"/>
    <w:rsid w:val="234D4FF2"/>
    <w:rsid w:val="23585DD8"/>
    <w:rsid w:val="235B4AD3"/>
    <w:rsid w:val="237B7BA7"/>
    <w:rsid w:val="237D05D8"/>
    <w:rsid w:val="239B1C02"/>
    <w:rsid w:val="23AB3963"/>
    <w:rsid w:val="23BA793E"/>
    <w:rsid w:val="23C50E05"/>
    <w:rsid w:val="23D05256"/>
    <w:rsid w:val="23D17044"/>
    <w:rsid w:val="23D172B3"/>
    <w:rsid w:val="23E40684"/>
    <w:rsid w:val="23F23381"/>
    <w:rsid w:val="2411563C"/>
    <w:rsid w:val="242447AF"/>
    <w:rsid w:val="24334C53"/>
    <w:rsid w:val="24771FAD"/>
    <w:rsid w:val="24BA68F5"/>
    <w:rsid w:val="24C15DE7"/>
    <w:rsid w:val="24D75451"/>
    <w:rsid w:val="24DC47FF"/>
    <w:rsid w:val="24FC2E7A"/>
    <w:rsid w:val="25005256"/>
    <w:rsid w:val="250439EF"/>
    <w:rsid w:val="2557729C"/>
    <w:rsid w:val="255A6A4F"/>
    <w:rsid w:val="257239B5"/>
    <w:rsid w:val="257A3E03"/>
    <w:rsid w:val="258C3DF5"/>
    <w:rsid w:val="25E1786F"/>
    <w:rsid w:val="25EB11E1"/>
    <w:rsid w:val="25F252DE"/>
    <w:rsid w:val="25F453F1"/>
    <w:rsid w:val="25F574EA"/>
    <w:rsid w:val="260B280F"/>
    <w:rsid w:val="2618393D"/>
    <w:rsid w:val="263F3EBB"/>
    <w:rsid w:val="266E1364"/>
    <w:rsid w:val="268E2249"/>
    <w:rsid w:val="268E3ECA"/>
    <w:rsid w:val="26995566"/>
    <w:rsid w:val="26A67D94"/>
    <w:rsid w:val="26C52C94"/>
    <w:rsid w:val="26E51871"/>
    <w:rsid w:val="26EC52C4"/>
    <w:rsid w:val="26FD1062"/>
    <w:rsid w:val="27224B0F"/>
    <w:rsid w:val="272F1E9F"/>
    <w:rsid w:val="274E1A68"/>
    <w:rsid w:val="2764417B"/>
    <w:rsid w:val="27795A37"/>
    <w:rsid w:val="278476CC"/>
    <w:rsid w:val="27991D55"/>
    <w:rsid w:val="27F710A0"/>
    <w:rsid w:val="282E0D0A"/>
    <w:rsid w:val="283659E1"/>
    <w:rsid w:val="284F7247"/>
    <w:rsid w:val="2854115A"/>
    <w:rsid w:val="286744CD"/>
    <w:rsid w:val="28710C17"/>
    <w:rsid w:val="287B2854"/>
    <w:rsid w:val="2887096F"/>
    <w:rsid w:val="28891A68"/>
    <w:rsid w:val="28B0142C"/>
    <w:rsid w:val="28B031C4"/>
    <w:rsid w:val="28B813D8"/>
    <w:rsid w:val="28C05393"/>
    <w:rsid w:val="28C15F16"/>
    <w:rsid w:val="28C8217E"/>
    <w:rsid w:val="28C917EF"/>
    <w:rsid w:val="28D13A25"/>
    <w:rsid w:val="28E23AA6"/>
    <w:rsid w:val="291433AE"/>
    <w:rsid w:val="292274D8"/>
    <w:rsid w:val="29432A42"/>
    <w:rsid w:val="294F62D4"/>
    <w:rsid w:val="2976043F"/>
    <w:rsid w:val="29834CA6"/>
    <w:rsid w:val="298429E5"/>
    <w:rsid w:val="29AA7F26"/>
    <w:rsid w:val="29B710E8"/>
    <w:rsid w:val="29D250A3"/>
    <w:rsid w:val="29D257CF"/>
    <w:rsid w:val="29D97152"/>
    <w:rsid w:val="29EA6773"/>
    <w:rsid w:val="2A2622F9"/>
    <w:rsid w:val="2A2E7A7E"/>
    <w:rsid w:val="2A4735A8"/>
    <w:rsid w:val="2A5F40B6"/>
    <w:rsid w:val="2A714859"/>
    <w:rsid w:val="2B1A174A"/>
    <w:rsid w:val="2B332625"/>
    <w:rsid w:val="2B565E56"/>
    <w:rsid w:val="2B7865F9"/>
    <w:rsid w:val="2B8C374E"/>
    <w:rsid w:val="2B8F46B6"/>
    <w:rsid w:val="2B991DFF"/>
    <w:rsid w:val="2BF24C23"/>
    <w:rsid w:val="2BF8660B"/>
    <w:rsid w:val="2BFC6B25"/>
    <w:rsid w:val="2C421FD2"/>
    <w:rsid w:val="2C51043B"/>
    <w:rsid w:val="2C6B4093"/>
    <w:rsid w:val="2C997AF3"/>
    <w:rsid w:val="2C997CDE"/>
    <w:rsid w:val="2C9E14E5"/>
    <w:rsid w:val="2CD25FF8"/>
    <w:rsid w:val="2CF2002C"/>
    <w:rsid w:val="2CF3392B"/>
    <w:rsid w:val="2D377655"/>
    <w:rsid w:val="2D403484"/>
    <w:rsid w:val="2D651E34"/>
    <w:rsid w:val="2D7245D7"/>
    <w:rsid w:val="2DAB5DC1"/>
    <w:rsid w:val="2DC2191C"/>
    <w:rsid w:val="2DF14475"/>
    <w:rsid w:val="2DF83CAE"/>
    <w:rsid w:val="2E1036F7"/>
    <w:rsid w:val="2E2F76FC"/>
    <w:rsid w:val="2E3B3187"/>
    <w:rsid w:val="2E422DCC"/>
    <w:rsid w:val="2E66613F"/>
    <w:rsid w:val="2E732342"/>
    <w:rsid w:val="2E754540"/>
    <w:rsid w:val="2E872FD6"/>
    <w:rsid w:val="2E905186"/>
    <w:rsid w:val="2EAD021A"/>
    <w:rsid w:val="2ED2330B"/>
    <w:rsid w:val="2EDC447A"/>
    <w:rsid w:val="2EE12E53"/>
    <w:rsid w:val="2EE5733A"/>
    <w:rsid w:val="2EEE11AC"/>
    <w:rsid w:val="2EFE35E8"/>
    <w:rsid w:val="2F315682"/>
    <w:rsid w:val="2F4E6128"/>
    <w:rsid w:val="2F593497"/>
    <w:rsid w:val="2F80221D"/>
    <w:rsid w:val="2FA6202F"/>
    <w:rsid w:val="2FDB47FA"/>
    <w:rsid w:val="300B4C55"/>
    <w:rsid w:val="303F08C7"/>
    <w:rsid w:val="30412492"/>
    <w:rsid w:val="304704C5"/>
    <w:rsid w:val="30615FED"/>
    <w:rsid w:val="30654876"/>
    <w:rsid w:val="308C1183"/>
    <w:rsid w:val="309713C6"/>
    <w:rsid w:val="30A232E4"/>
    <w:rsid w:val="30C50C66"/>
    <w:rsid w:val="30ED1711"/>
    <w:rsid w:val="31167200"/>
    <w:rsid w:val="312C69BA"/>
    <w:rsid w:val="31393DCB"/>
    <w:rsid w:val="31636DC3"/>
    <w:rsid w:val="316A224B"/>
    <w:rsid w:val="316D2854"/>
    <w:rsid w:val="31712EBC"/>
    <w:rsid w:val="317D5FB6"/>
    <w:rsid w:val="318C7F04"/>
    <w:rsid w:val="319C5AA7"/>
    <w:rsid w:val="319F465C"/>
    <w:rsid w:val="31A8132A"/>
    <w:rsid w:val="31C32FA3"/>
    <w:rsid w:val="31CD468B"/>
    <w:rsid w:val="31D91BE1"/>
    <w:rsid w:val="31E60856"/>
    <w:rsid w:val="31EA35E8"/>
    <w:rsid w:val="322C0610"/>
    <w:rsid w:val="322E1BFD"/>
    <w:rsid w:val="323A3E96"/>
    <w:rsid w:val="323E22F7"/>
    <w:rsid w:val="327C01BB"/>
    <w:rsid w:val="32A5173A"/>
    <w:rsid w:val="32BB148C"/>
    <w:rsid w:val="32BB6217"/>
    <w:rsid w:val="32C17F68"/>
    <w:rsid w:val="331003ED"/>
    <w:rsid w:val="33291ACF"/>
    <w:rsid w:val="333D7CDA"/>
    <w:rsid w:val="33486333"/>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34EFD"/>
    <w:rsid w:val="34751483"/>
    <w:rsid w:val="34B44B7E"/>
    <w:rsid w:val="34D80322"/>
    <w:rsid w:val="34E8726F"/>
    <w:rsid w:val="34F64668"/>
    <w:rsid w:val="35056F41"/>
    <w:rsid w:val="350A4AD0"/>
    <w:rsid w:val="350F0702"/>
    <w:rsid w:val="35537C83"/>
    <w:rsid w:val="35A873D1"/>
    <w:rsid w:val="35C40F36"/>
    <w:rsid w:val="35C76FEA"/>
    <w:rsid w:val="361B520F"/>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794836"/>
    <w:rsid w:val="37846EE5"/>
    <w:rsid w:val="379461DF"/>
    <w:rsid w:val="379C5527"/>
    <w:rsid w:val="379F25AA"/>
    <w:rsid w:val="37B7331B"/>
    <w:rsid w:val="37BE432D"/>
    <w:rsid w:val="37C0269B"/>
    <w:rsid w:val="37C20289"/>
    <w:rsid w:val="37CC113C"/>
    <w:rsid w:val="37D93D9B"/>
    <w:rsid w:val="37DD3769"/>
    <w:rsid w:val="37EA256E"/>
    <w:rsid w:val="37FE4685"/>
    <w:rsid w:val="37FF2D35"/>
    <w:rsid w:val="38316343"/>
    <w:rsid w:val="38352DED"/>
    <w:rsid w:val="383B72EF"/>
    <w:rsid w:val="38540962"/>
    <w:rsid w:val="38727B02"/>
    <w:rsid w:val="38812AD7"/>
    <w:rsid w:val="389F5CD8"/>
    <w:rsid w:val="38AA6BDA"/>
    <w:rsid w:val="38B279EB"/>
    <w:rsid w:val="38B82AF5"/>
    <w:rsid w:val="38C7204D"/>
    <w:rsid w:val="38EA6C83"/>
    <w:rsid w:val="38EE22D7"/>
    <w:rsid w:val="392B1828"/>
    <w:rsid w:val="394D58E5"/>
    <w:rsid w:val="39933B19"/>
    <w:rsid w:val="39A33CED"/>
    <w:rsid w:val="39B16FCF"/>
    <w:rsid w:val="39B63F14"/>
    <w:rsid w:val="39BB11C0"/>
    <w:rsid w:val="39CE52D4"/>
    <w:rsid w:val="39ED5AEC"/>
    <w:rsid w:val="39F25C1A"/>
    <w:rsid w:val="3A2B463D"/>
    <w:rsid w:val="3A386A14"/>
    <w:rsid w:val="3A3C0A2C"/>
    <w:rsid w:val="3A453174"/>
    <w:rsid w:val="3A5133D0"/>
    <w:rsid w:val="3A52381C"/>
    <w:rsid w:val="3A58654F"/>
    <w:rsid w:val="3A687E26"/>
    <w:rsid w:val="3A8322BE"/>
    <w:rsid w:val="3ABA070B"/>
    <w:rsid w:val="3AC7728A"/>
    <w:rsid w:val="3ACB380C"/>
    <w:rsid w:val="3AD35719"/>
    <w:rsid w:val="3ADA3E24"/>
    <w:rsid w:val="3ADF199C"/>
    <w:rsid w:val="3AF6205F"/>
    <w:rsid w:val="3B050D2B"/>
    <w:rsid w:val="3B1D2FE9"/>
    <w:rsid w:val="3B1F566C"/>
    <w:rsid w:val="3B265D2B"/>
    <w:rsid w:val="3B497D60"/>
    <w:rsid w:val="3B4D0406"/>
    <w:rsid w:val="3B4F3729"/>
    <w:rsid w:val="3B5C1C29"/>
    <w:rsid w:val="3B716F78"/>
    <w:rsid w:val="3B8725C8"/>
    <w:rsid w:val="3B8C3A12"/>
    <w:rsid w:val="3BB54638"/>
    <w:rsid w:val="3BD62991"/>
    <w:rsid w:val="3BD95935"/>
    <w:rsid w:val="3BE22FA7"/>
    <w:rsid w:val="3BF34A5A"/>
    <w:rsid w:val="3BF75334"/>
    <w:rsid w:val="3C2A50F0"/>
    <w:rsid w:val="3C2B11E4"/>
    <w:rsid w:val="3C40286C"/>
    <w:rsid w:val="3C4373C4"/>
    <w:rsid w:val="3C9508B9"/>
    <w:rsid w:val="3CBE1861"/>
    <w:rsid w:val="3CD06F1D"/>
    <w:rsid w:val="3CD9405C"/>
    <w:rsid w:val="3CDB019A"/>
    <w:rsid w:val="3CE83CA8"/>
    <w:rsid w:val="3CF672F5"/>
    <w:rsid w:val="3D11065F"/>
    <w:rsid w:val="3D14219F"/>
    <w:rsid w:val="3D32517E"/>
    <w:rsid w:val="3D5B4B1B"/>
    <w:rsid w:val="3D7778E1"/>
    <w:rsid w:val="3DD64A42"/>
    <w:rsid w:val="3DFF7691"/>
    <w:rsid w:val="3E21293C"/>
    <w:rsid w:val="3E587566"/>
    <w:rsid w:val="3E6A644A"/>
    <w:rsid w:val="3E711D4C"/>
    <w:rsid w:val="3E81772E"/>
    <w:rsid w:val="3E861F2A"/>
    <w:rsid w:val="3E865C72"/>
    <w:rsid w:val="3E920965"/>
    <w:rsid w:val="3E92378D"/>
    <w:rsid w:val="3E964D8C"/>
    <w:rsid w:val="3EC57D85"/>
    <w:rsid w:val="3ED81093"/>
    <w:rsid w:val="3EF76DEB"/>
    <w:rsid w:val="3EF933BE"/>
    <w:rsid w:val="3F147322"/>
    <w:rsid w:val="3F1B7BDA"/>
    <w:rsid w:val="3F4F53D8"/>
    <w:rsid w:val="3F5958DC"/>
    <w:rsid w:val="3F7561FB"/>
    <w:rsid w:val="3F7D0C9C"/>
    <w:rsid w:val="3F8175A9"/>
    <w:rsid w:val="3F9110FB"/>
    <w:rsid w:val="3F970AC9"/>
    <w:rsid w:val="3F983970"/>
    <w:rsid w:val="3FA04C1F"/>
    <w:rsid w:val="3FAB3EF2"/>
    <w:rsid w:val="3FB74B79"/>
    <w:rsid w:val="3FB97FE1"/>
    <w:rsid w:val="3FBF1507"/>
    <w:rsid w:val="3FC62C11"/>
    <w:rsid w:val="3FE10133"/>
    <w:rsid w:val="3FED1312"/>
    <w:rsid w:val="3FF03FC2"/>
    <w:rsid w:val="3FFC75C0"/>
    <w:rsid w:val="400259CE"/>
    <w:rsid w:val="400F586A"/>
    <w:rsid w:val="40105F46"/>
    <w:rsid w:val="40225FCC"/>
    <w:rsid w:val="402C43AB"/>
    <w:rsid w:val="402D0F85"/>
    <w:rsid w:val="4031573F"/>
    <w:rsid w:val="403645F3"/>
    <w:rsid w:val="40491F46"/>
    <w:rsid w:val="40A86353"/>
    <w:rsid w:val="40CC47B9"/>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186FAF"/>
    <w:rsid w:val="42436B6D"/>
    <w:rsid w:val="4258439B"/>
    <w:rsid w:val="42635B8E"/>
    <w:rsid w:val="42A25B3C"/>
    <w:rsid w:val="42A65106"/>
    <w:rsid w:val="42BB2A5D"/>
    <w:rsid w:val="42CB6444"/>
    <w:rsid w:val="42F27836"/>
    <w:rsid w:val="430A6E5A"/>
    <w:rsid w:val="4330416F"/>
    <w:rsid w:val="4332163E"/>
    <w:rsid w:val="433E2AAC"/>
    <w:rsid w:val="434271E2"/>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C32BC8"/>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3842DE"/>
    <w:rsid w:val="46386E53"/>
    <w:rsid w:val="4639036D"/>
    <w:rsid w:val="463A05A5"/>
    <w:rsid w:val="463A5557"/>
    <w:rsid w:val="46460291"/>
    <w:rsid w:val="464A0A81"/>
    <w:rsid w:val="46625A9D"/>
    <w:rsid w:val="4666004F"/>
    <w:rsid w:val="46683881"/>
    <w:rsid w:val="469506DA"/>
    <w:rsid w:val="469B1818"/>
    <w:rsid w:val="46A42C79"/>
    <w:rsid w:val="46A9385A"/>
    <w:rsid w:val="46CA4E0D"/>
    <w:rsid w:val="470B23CA"/>
    <w:rsid w:val="472762D3"/>
    <w:rsid w:val="47454177"/>
    <w:rsid w:val="474F15D8"/>
    <w:rsid w:val="4754049B"/>
    <w:rsid w:val="475E7C0D"/>
    <w:rsid w:val="476415D8"/>
    <w:rsid w:val="47701558"/>
    <w:rsid w:val="477426A5"/>
    <w:rsid w:val="47873BD6"/>
    <w:rsid w:val="478E43D2"/>
    <w:rsid w:val="47B2336A"/>
    <w:rsid w:val="47BA4F6E"/>
    <w:rsid w:val="47D7366E"/>
    <w:rsid w:val="47E12DA0"/>
    <w:rsid w:val="47E413E0"/>
    <w:rsid w:val="47F243FC"/>
    <w:rsid w:val="486C3D94"/>
    <w:rsid w:val="487121A4"/>
    <w:rsid w:val="48A226AD"/>
    <w:rsid w:val="48B2699F"/>
    <w:rsid w:val="48B67D8D"/>
    <w:rsid w:val="48C260C0"/>
    <w:rsid w:val="4902628A"/>
    <w:rsid w:val="490B2882"/>
    <w:rsid w:val="492412C0"/>
    <w:rsid w:val="494E7D53"/>
    <w:rsid w:val="495835B0"/>
    <w:rsid w:val="495A2A19"/>
    <w:rsid w:val="4988006D"/>
    <w:rsid w:val="499646A6"/>
    <w:rsid w:val="499F4D25"/>
    <w:rsid w:val="49B26E0D"/>
    <w:rsid w:val="49BB06FB"/>
    <w:rsid w:val="49BC2A68"/>
    <w:rsid w:val="49F04BCB"/>
    <w:rsid w:val="49FD451C"/>
    <w:rsid w:val="4A0A5017"/>
    <w:rsid w:val="4A152F65"/>
    <w:rsid w:val="4A3E0914"/>
    <w:rsid w:val="4A3F1207"/>
    <w:rsid w:val="4A57472F"/>
    <w:rsid w:val="4A715E3D"/>
    <w:rsid w:val="4AB72982"/>
    <w:rsid w:val="4B1B2082"/>
    <w:rsid w:val="4B464664"/>
    <w:rsid w:val="4B635F8B"/>
    <w:rsid w:val="4B65032C"/>
    <w:rsid w:val="4B712A43"/>
    <w:rsid w:val="4B82202B"/>
    <w:rsid w:val="4BBE1692"/>
    <w:rsid w:val="4BCA0C2B"/>
    <w:rsid w:val="4BD65A7B"/>
    <w:rsid w:val="4BE106C3"/>
    <w:rsid w:val="4C0B49E3"/>
    <w:rsid w:val="4C116AEB"/>
    <w:rsid w:val="4C180EC0"/>
    <w:rsid w:val="4C184E1C"/>
    <w:rsid w:val="4C536905"/>
    <w:rsid w:val="4C696745"/>
    <w:rsid w:val="4C737423"/>
    <w:rsid w:val="4C987A51"/>
    <w:rsid w:val="4C993ABE"/>
    <w:rsid w:val="4CAA2DCE"/>
    <w:rsid w:val="4CB96EE9"/>
    <w:rsid w:val="4CD66C96"/>
    <w:rsid w:val="4CDC5A3B"/>
    <w:rsid w:val="4CDF0E5D"/>
    <w:rsid w:val="4CE376D5"/>
    <w:rsid w:val="4D0D3FCB"/>
    <w:rsid w:val="4D280BB7"/>
    <w:rsid w:val="4D547564"/>
    <w:rsid w:val="4D6C65CD"/>
    <w:rsid w:val="4D8217BA"/>
    <w:rsid w:val="4D9C1BB4"/>
    <w:rsid w:val="4DC65A69"/>
    <w:rsid w:val="4DF4626D"/>
    <w:rsid w:val="4DFC20A2"/>
    <w:rsid w:val="4DFF1B97"/>
    <w:rsid w:val="4E020B1B"/>
    <w:rsid w:val="4E043535"/>
    <w:rsid w:val="4E1362FB"/>
    <w:rsid w:val="4E25360E"/>
    <w:rsid w:val="4E2719FC"/>
    <w:rsid w:val="4E5E12F1"/>
    <w:rsid w:val="4E62045F"/>
    <w:rsid w:val="4E783F31"/>
    <w:rsid w:val="4EAC689C"/>
    <w:rsid w:val="4EB25AA5"/>
    <w:rsid w:val="4EDD2691"/>
    <w:rsid w:val="4EE859FD"/>
    <w:rsid w:val="4EF911E3"/>
    <w:rsid w:val="4EF94046"/>
    <w:rsid w:val="4F0048E8"/>
    <w:rsid w:val="4F0C760F"/>
    <w:rsid w:val="4F15188C"/>
    <w:rsid w:val="4F2048D3"/>
    <w:rsid w:val="4F255836"/>
    <w:rsid w:val="4F29165C"/>
    <w:rsid w:val="4F3B036E"/>
    <w:rsid w:val="4F3F24FD"/>
    <w:rsid w:val="4F463510"/>
    <w:rsid w:val="4F4F67C3"/>
    <w:rsid w:val="4F580453"/>
    <w:rsid w:val="4F647CAE"/>
    <w:rsid w:val="4F7F4759"/>
    <w:rsid w:val="4F8A3560"/>
    <w:rsid w:val="4F8A6E9D"/>
    <w:rsid w:val="4FA00EA1"/>
    <w:rsid w:val="4FA7410F"/>
    <w:rsid w:val="4FA97EDC"/>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8B7406"/>
    <w:rsid w:val="5091425F"/>
    <w:rsid w:val="509F73B0"/>
    <w:rsid w:val="50B26A6B"/>
    <w:rsid w:val="50C20F4E"/>
    <w:rsid w:val="50D40C4B"/>
    <w:rsid w:val="50E46F54"/>
    <w:rsid w:val="50F515F4"/>
    <w:rsid w:val="511E2DBF"/>
    <w:rsid w:val="51207D50"/>
    <w:rsid w:val="5144267E"/>
    <w:rsid w:val="514D07CA"/>
    <w:rsid w:val="51604849"/>
    <w:rsid w:val="51747844"/>
    <w:rsid w:val="51777F08"/>
    <w:rsid w:val="51912DDA"/>
    <w:rsid w:val="51942125"/>
    <w:rsid w:val="51AB47E1"/>
    <w:rsid w:val="51B047FE"/>
    <w:rsid w:val="51B204B9"/>
    <w:rsid w:val="51B56296"/>
    <w:rsid w:val="51C72834"/>
    <w:rsid w:val="51E63F6D"/>
    <w:rsid w:val="51E74EF3"/>
    <w:rsid w:val="520C2961"/>
    <w:rsid w:val="521305FA"/>
    <w:rsid w:val="522F500B"/>
    <w:rsid w:val="523852D6"/>
    <w:rsid w:val="523E768F"/>
    <w:rsid w:val="5242577E"/>
    <w:rsid w:val="525D691E"/>
    <w:rsid w:val="527076ED"/>
    <w:rsid w:val="52783884"/>
    <w:rsid w:val="529C25EA"/>
    <w:rsid w:val="52AC28BC"/>
    <w:rsid w:val="52B05067"/>
    <w:rsid w:val="52CC23E6"/>
    <w:rsid w:val="52D7787C"/>
    <w:rsid w:val="52E07238"/>
    <w:rsid w:val="52EA11D5"/>
    <w:rsid w:val="5306390C"/>
    <w:rsid w:val="531762DD"/>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07F41"/>
    <w:rsid w:val="5433414C"/>
    <w:rsid w:val="54465F20"/>
    <w:rsid w:val="545D4199"/>
    <w:rsid w:val="54831B18"/>
    <w:rsid w:val="549502FD"/>
    <w:rsid w:val="549511D9"/>
    <w:rsid w:val="54AB09A6"/>
    <w:rsid w:val="54AF20D4"/>
    <w:rsid w:val="54B72A99"/>
    <w:rsid w:val="54BC49A0"/>
    <w:rsid w:val="54EE39DB"/>
    <w:rsid w:val="55022976"/>
    <w:rsid w:val="551C096F"/>
    <w:rsid w:val="55240097"/>
    <w:rsid w:val="552C3D46"/>
    <w:rsid w:val="553245F5"/>
    <w:rsid w:val="554D13EE"/>
    <w:rsid w:val="55850C4A"/>
    <w:rsid w:val="559341A6"/>
    <w:rsid w:val="55C57ADE"/>
    <w:rsid w:val="55CE22F2"/>
    <w:rsid w:val="56160365"/>
    <w:rsid w:val="561717F3"/>
    <w:rsid w:val="566E6821"/>
    <w:rsid w:val="56BC15B5"/>
    <w:rsid w:val="56DD747D"/>
    <w:rsid w:val="56EE039D"/>
    <w:rsid w:val="56F96728"/>
    <w:rsid w:val="571F273F"/>
    <w:rsid w:val="572F7A73"/>
    <w:rsid w:val="57300C80"/>
    <w:rsid w:val="575B3A04"/>
    <w:rsid w:val="575B5634"/>
    <w:rsid w:val="575D7EC0"/>
    <w:rsid w:val="576138FC"/>
    <w:rsid w:val="578736CD"/>
    <w:rsid w:val="578739BB"/>
    <w:rsid w:val="57893C0F"/>
    <w:rsid w:val="5798256F"/>
    <w:rsid w:val="579840C7"/>
    <w:rsid w:val="57C2221D"/>
    <w:rsid w:val="57E1536E"/>
    <w:rsid w:val="57FD673B"/>
    <w:rsid w:val="583A7FA8"/>
    <w:rsid w:val="58544955"/>
    <w:rsid w:val="58566AE7"/>
    <w:rsid w:val="585962B5"/>
    <w:rsid w:val="585F5B75"/>
    <w:rsid w:val="58650C5F"/>
    <w:rsid w:val="587A4269"/>
    <w:rsid w:val="587D3274"/>
    <w:rsid w:val="589A5A5F"/>
    <w:rsid w:val="58B94375"/>
    <w:rsid w:val="58BA4A70"/>
    <w:rsid w:val="58C96F1E"/>
    <w:rsid w:val="5902444F"/>
    <w:rsid w:val="591B5CBF"/>
    <w:rsid w:val="591D3DD9"/>
    <w:rsid w:val="5927514C"/>
    <w:rsid w:val="594F610B"/>
    <w:rsid w:val="59600EE5"/>
    <w:rsid w:val="59634BDC"/>
    <w:rsid w:val="59941B20"/>
    <w:rsid w:val="599A4004"/>
    <w:rsid w:val="599B086D"/>
    <w:rsid w:val="59B927ED"/>
    <w:rsid w:val="59BF5C8E"/>
    <w:rsid w:val="59D97EC2"/>
    <w:rsid w:val="59E24823"/>
    <w:rsid w:val="59E27409"/>
    <w:rsid w:val="59E52BA1"/>
    <w:rsid w:val="59ED36DC"/>
    <w:rsid w:val="59FC781F"/>
    <w:rsid w:val="5A305693"/>
    <w:rsid w:val="5A3526A3"/>
    <w:rsid w:val="5A370571"/>
    <w:rsid w:val="5A4E41C1"/>
    <w:rsid w:val="5A6210CC"/>
    <w:rsid w:val="5A7348C9"/>
    <w:rsid w:val="5A7521D8"/>
    <w:rsid w:val="5A7E7218"/>
    <w:rsid w:val="5A9725BE"/>
    <w:rsid w:val="5AAB00A2"/>
    <w:rsid w:val="5AC76508"/>
    <w:rsid w:val="5AD45AFB"/>
    <w:rsid w:val="5AFC1624"/>
    <w:rsid w:val="5AFF4878"/>
    <w:rsid w:val="5B095493"/>
    <w:rsid w:val="5B115BA8"/>
    <w:rsid w:val="5B235AE9"/>
    <w:rsid w:val="5B246A53"/>
    <w:rsid w:val="5B384C6B"/>
    <w:rsid w:val="5B416E74"/>
    <w:rsid w:val="5B437EA2"/>
    <w:rsid w:val="5B534ED1"/>
    <w:rsid w:val="5B7410CB"/>
    <w:rsid w:val="5B8859A0"/>
    <w:rsid w:val="5B9F7743"/>
    <w:rsid w:val="5BB522B5"/>
    <w:rsid w:val="5BBA4618"/>
    <w:rsid w:val="5BF250F3"/>
    <w:rsid w:val="5BF84DDB"/>
    <w:rsid w:val="5C111338"/>
    <w:rsid w:val="5C1B076F"/>
    <w:rsid w:val="5C691941"/>
    <w:rsid w:val="5C7919DF"/>
    <w:rsid w:val="5CA03401"/>
    <w:rsid w:val="5CAA3741"/>
    <w:rsid w:val="5CB35D47"/>
    <w:rsid w:val="5CC85C68"/>
    <w:rsid w:val="5CEC3A93"/>
    <w:rsid w:val="5CEF405D"/>
    <w:rsid w:val="5CFE5040"/>
    <w:rsid w:val="5D1341B2"/>
    <w:rsid w:val="5D251093"/>
    <w:rsid w:val="5D287B54"/>
    <w:rsid w:val="5D3047D1"/>
    <w:rsid w:val="5D494018"/>
    <w:rsid w:val="5D6B14A2"/>
    <w:rsid w:val="5D85020D"/>
    <w:rsid w:val="5D987A13"/>
    <w:rsid w:val="5D9B0E6A"/>
    <w:rsid w:val="5D9E1AED"/>
    <w:rsid w:val="5D9E4E16"/>
    <w:rsid w:val="5DAC181B"/>
    <w:rsid w:val="5DBA0135"/>
    <w:rsid w:val="5DC64F9D"/>
    <w:rsid w:val="5DCD5DE5"/>
    <w:rsid w:val="5DD437EF"/>
    <w:rsid w:val="5DF16302"/>
    <w:rsid w:val="5DFF4B46"/>
    <w:rsid w:val="5E373C74"/>
    <w:rsid w:val="5E3B0A10"/>
    <w:rsid w:val="5E424B71"/>
    <w:rsid w:val="5E881A80"/>
    <w:rsid w:val="5EB51AB3"/>
    <w:rsid w:val="5EC33621"/>
    <w:rsid w:val="5EF31C67"/>
    <w:rsid w:val="5EF4004E"/>
    <w:rsid w:val="5EFA106E"/>
    <w:rsid w:val="5EFF06CD"/>
    <w:rsid w:val="5F010576"/>
    <w:rsid w:val="5F0251FA"/>
    <w:rsid w:val="5F176159"/>
    <w:rsid w:val="5F200A9F"/>
    <w:rsid w:val="5F4475AE"/>
    <w:rsid w:val="5F4A6799"/>
    <w:rsid w:val="5F4B1F28"/>
    <w:rsid w:val="5F537D1D"/>
    <w:rsid w:val="5F5D79FF"/>
    <w:rsid w:val="5F6C2424"/>
    <w:rsid w:val="5F7769BE"/>
    <w:rsid w:val="5F946A7C"/>
    <w:rsid w:val="5FBA79B0"/>
    <w:rsid w:val="5FC12DE1"/>
    <w:rsid w:val="5FC61813"/>
    <w:rsid w:val="5FCA2C78"/>
    <w:rsid w:val="5FD57CF6"/>
    <w:rsid w:val="5FF50EAD"/>
    <w:rsid w:val="600676E3"/>
    <w:rsid w:val="60155483"/>
    <w:rsid w:val="601C5687"/>
    <w:rsid w:val="602B7B91"/>
    <w:rsid w:val="60391C4C"/>
    <w:rsid w:val="603B021E"/>
    <w:rsid w:val="60584683"/>
    <w:rsid w:val="606F768E"/>
    <w:rsid w:val="60717643"/>
    <w:rsid w:val="608D00E3"/>
    <w:rsid w:val="60992490"/>
    <w:rsid w:val="60A1419A"/>
    <w:rsid w:val="60A43A47"/>
    <w:rsid w:val="60AE7285"/>
    <w:rsid w:val="60C33C2B"/>
    <w:rsid w:val="60CC1E4A"/>
    <w:rsid w:val="60E97ACC"/>
    <w:rsid w:val="61160E7E"/>
    <w:rsid w:val="61311E12"/>
    <w:rsid w:val="61637659"/>
    <w:rsid w:val="617C570B"/>
    <w:rsid w:val="61853804"/>
    <w:rsid w:val="619B53CA"/>
    <w:rsid w:val="61A56DFA"/>
    <w:rsid w:val="61EB5F1D"/>
    <w:rsid w:val="61F90CC1"/>
    <w:rsid w:val="621B5631"/>
    <w:rsid w:val="62460BE4"/>
    <w:rsid w:val="62577A2F"/>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79157C"/>
    <w:rsid w:val="639A466F"/>
    <w:rsid w:val="63A23228"/>
    <w:rsid w:val="63AB5D44"/>
    <w:rsid w:val="63B04CF8"/>
    <w:rsid w:val="63BA7188"/>
    <w:rsid w:val="63DF59C2"/>
    <w:rsid w:val="63E6136F"/>
    <w:rsid w:val="63EA625B"/>
    <w:rsid w:val="63F97C8C"/>
    <w:rsid w:val="63FC6F31"/>
    <w:rsid w:val="642C20BD"/>
    <w:rsid w:val="642E4F72"/>
    <w:rsid w:val="646469D4"/>
    <w:rsid w:val="647A419D"/>
    <w:rsid w:val="64846083"/>
    <w:rsid w:val="64851089"/>
    <w:rsid w:val="64940D6A"/>
    <w:rsid w:val="64983CC9"/>
    <w:rsid w:val="64B109D5"/>
    <w:rsid w:val="64E43E7F"/>
    <w:rsid w:val="64FE5C71"/>
    <w:rsid w:val="65107E36"/>
    <w:rsid w:val="651B1DC4"/>
    <w:rsid w:val="654E476E"/>
    <w:rsid w:val="657B11CD"/>
    <w:rsid w:val="658A6BCD"/>
    <w:rsid w:val="659D0782"/>
    <w:rsid w:val="659D7C90"/>
    <w:rsid w:val="65B300B5"/>
    <w:rsid w:val="65BA7F00"/>
    <w:rsid w:val="65D04EEB"/>
    <w:rsid w:val="65D424B9"/>
    <w:rsid w:val="66001BA4"/>
    <w:rsid w:val="66025947"/>
    <w:rsid w:val="663C7469"/>
    <w:rsid w:val="668A41F2"/>
    <w:rsid w:val="66A4023A"/>
    <w:rsid w:val="66B8269C"/>
    <w:rsid w:val="66DA6749"/>
    <w:rsid w:val="67051D14"/>
    <w:rsid w:val="670A2D76"/>
    <w:rsid w:val="671D46C8"/>
    <w:rsid w:val="671F22A3"/>
    <w:rsid w:val="67291A35"/>
    <w:rsid w:val="673669FF"/>
    <w:rsid w:val="67393CB7"/>
    <w:rsid w:val="673C6439"/>
    <w:rsid w:val="6742103C"/>
    <w:rsid w:val="676A0B2B"/>
    <w:rsid w:val="676C3006"/>
    <w:rsid w:val="677E2D47"/>
    <w:rsid w:val="67827A7F"/>
    <w:rsid w:val="67A667D3"/>
    <w:rsid w:val="67A74C82"/>
    <w:rsid w:val="67A95111"/>
    <w:rsid w:val="67BB2E7F"/>
    <w:rsid w:val="67C365BF"/>
    <w:rsid w:val="67D8341E"/>
    <w:rsid w:val="67E46FF5"/>
    <w:rsid w:val="67ED6C16"/>
    <w:rsid w:val="680A6C82"/>
    <w:rsid w:val="681522D1"/>
    <w:rsid w:val="6824034C"/>
    <w:rsid w:val="683E3347"/>
    <w:rsid w:val="6843364C"/>
    <w:rsid w:val="685E57CE"/>
    <w:rsid w:val="685F4AA0"/>
    <w:rsid w:val="68623D3F"/>
    <w:rsid w:val="68630EF5"/>
    <w:rsid w:val="686C7E0A"/>
    <w:rsid w:val="68757042"/>
    <w:rsid w:val="687D6111"/>
    <w:rsid w:val="6886166B"/>
    <w:rsid w:val="68954A3C"/>
    <w:rsid w:val="689B0DF8"/>
    <w:rsid w:val="68B5096E"/>
    <w:rsid w:val="68CC10BC"/>
    <w:rsid w:val="68F44B09"/>
    <w:rsid w:val="68FA1B9A"/>
    <w:rsid w:val="694E046E"/>
    <w:rsid w:val="69652D27"/>
    <w:rsid w:val="69952A0C"/>
    <w:rsid w:val="699A1218"/>
    <w:rsid w:val="699B4BDB"/>
    <w:rsid w:val="69A51678"/>
    <w:rsid w:val="69BB329B"/>
    <w:rsid w:val="69BD4C61"/>
    <w:rsid w:val="69E22BAC"/>
    <w:rsid w:val="69FC56C6"/>
    <w:rsid w:val="69FD3B6F"/>
    <w:rsid w:val="6A0065EF"/>
    <w:rsid w:val="6A1F1C32"/>
    <w:rsid w:val="6A1F39FA"/>
    <w:rsid w:val="6A5028C0"/>
    <w:rsid w:val="6A616283"/>
    <w:rsid w:val="6A641407"/>
    <w:rsid w:val="6A656882"/>
    <w:rsid w:val="6A8B60FB"/>
    <w:rsid w:val="6A9674BF"/>
    <w:rsid w:val="6A9A37E0"/>
    <w:rsid w:val="6AA604CA"/>
    <w:rsid w:val="6AB67B97"/>
    <w:rsid w:val="6ADB41F3"/>
    <w:rsid w:val="6AE4490D"/>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9D1C13"/>
    <w:rsid w:val="6CA30F18"/>
    <w:rsid w:val="6CA5691E"/>
    <w:rsid w:val="6CFC1EEB"/>
    <w:rsid w:val="6CFD2D93"/>
    <w:rsid w:val="6D1B3C07"/>
    <w:rsid w:val="6D290842"/>
    <w:rsid w:val="6D2F6BF2"/>
    <w:rsid w:val="6D31162C"/>
    <w:rsid w:val="6D64252E"/>
    <w:rsid w:val="6D680792"/>
    <w:rsid w:val="6DA429A2"/>
    <w:rsid w:val="6DAB0FE0"/>
    <w:rsid w:val="6DCB0893"/>
    <w:rsid w:val="6DEE7FF8"/>
    <w:rsid w:val="6DFE35B9"/>
    <w:rsid w:val="6E0B50AB"/>
    <w:rsid w:val="6E0B6604"/>
    <w:rsid w:val="6E1E5CB1"/>
    <w:rsid w:val="6E51496A"/>
    <w:rsid w:val="6E8555D0"/>
    <w:rsid w:val="6E876629"/>
    <w:rsid w:val="6E893B3A"/>
    <w:rsid w:val="6EDA39B4"/>
    <w:rsid w:val="6EDA7020"/>
    <w:rsid w:val="6EDF1C43"/>
    <w:rsid w:val="6F08338C"/>
    <w:rsid w:val="6F20674D"/>
    <w:rsid w:val="6F492FDA"/>
    <w:rsid w:val="6F561A7D"/>
    <w:rsid w:val="6F6005AE"/>
    <w:rsid w:val="6F914D8F"/>
    <w:rsid w:val="6FA629B9"/>
    <w:rsid w:val="6FB41CDF"/>
    <w:rsid w:val="6FE52B7F"/>
    <w:rsid w:val="70047746"/>
    <w:rsid w:val="701B22C2"/>
    <w:rsid w:val="704A18A5"/>
    <w:rsid w:val="70535193"/>
    <w:rsid w:val="705353D7"/>
    <w:rsid w:val="70595CFD"/>
    <w:rsid w:val="70731CBA"/>
    <w:rsid w:val="708C5A76"/>
    <w:rsid w:val="70AB2A5F"/>
    <w:rsid w:val="70AE097D"/>
    <w:rsid w:val="70C40F6B"/>
    <w:rsid w:val="70D313F6"/>
    <w:rsid w:val="70FF2B52"/>
    <w:rsid w:val="71053071"/>
    <w:rsid w:val="710C4547"/>
    <w:rsid w:val="71146B3B"/>
    <w:rsid w:val="711E1A75"/>
    <w:rsid w:val="715E5257"/>
    <w:rsid w:val="718176C8"/>
    <w:rsid w:val="71BB1264"/>
    <w:rsid w:val="71C14470"/>
    <w:rsid w:val="71DD01AD"/>
    <w:rsid w:val="71E01DDD"/>
    <w:rsid w:val="723D68AF"/>
    <w:rsid w:val="724721AC"/>
    <w:rsid w:val="726A1AE2"/>
    <w:rsid w:val="72705108"/>
    <w:rsid w:val="729452D5"/>
    <w:rsid w:val="72DA679C"/>
    <w:rsid w:val="72F657B0"/>
    <w:rsid w:val="72FC409A"/>
    <w:rsid w:val="72FE4B6F"/>
    <w:rsid w:val="73032FC0"/>
    <w:rsid w:val="730F48D7"/>
    <w:rsid w:val="73253B84"/>
    <w:rsid w:val="733B2066"/>
    <w:rsid w:val="733D0BED"/>
    <w:rsid w:val="73676D7A"/>
    <w:rsid w:val="738707F8"/>
    <w:rsid w:val="738754CA"/>
    <w:rsid w:val="738A4AD6"/>
    <w:rsid w:val="738B6F89"/>
    <w:rsid w:val="738D3C12"/>
    <w:rsid w:val="73C056D8"/>
    <w:rsid w:val="73CB6AC4"/>
    <w:rsid w:val="73ED1A3A"/>
    <w:rsid w:val="73F05696"/>
    <w:rsid w:val="73F50B6F"/>
    <w:rsid w:val="73F711B4"/>
    <w:rsid w:val="74146799"/>
    <w:rsid w:val="741A1B16"/>
    <w:rsid w:val="741E67C6"/>
    <w:rsid w:val="742C5E27"/>
    <w:rsid w:val="74551D23"/>
    <w:rsid w:val="745D7B18"/>
    <w:rsid w:val="745F299C"/>
    <w:rsid w:val="7466617E"/>
    <w:rsid w:val="746F1484"/>
    <w:rsid w:val="74985E38"/>
    <w:rsid w:val="74A71416"/>
    <w:rsid w:val="74B800CA"/>
    <w:rsid w:val="74F55B27"/>
    <w:rsid w:val="753D165B"/>
    <w:rsid w:val="75511543"/>
    <w:rsid w:val="756B2471"/>
    <w:rsid w:val="75726F76"/>
    <w:rsid w:val="758D6086"/>
    <w:rsid w:val="758F1A33"/>
    <w:rsid w:val="759E7448"/>
    <w:rsid w:val="75F8009A"/>
    <w:rsid w:val="762B22A9"/>
    <w:rsid w:val="763A3819"/>
    <w:rsid w:val="76471DE8"/>
    <w:rsid w:val="764C1D57"/>
    <w:rsid w:val="766C2B2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62795D"/>
    <w:rsid w:val="778D01FE"/>
    <w:rsid w:val="77A3436B"/>
    <w:rsid w:val="77B86288"/>
    <w:rsid w:val="77C54333"/>
    <w:rsid w:val="77F437B1"/>
    <w:rsid w:val="780738D1"/>
    <w:rsid w:val="782226C6"/>
    <w:rsid w:val="783D4AFF"/>
    <w:rsid w:val="784D30F3"/>
    <w:rsid w:val="78693C27"/>
    <w:rsid w:val="788A2C6A"/>
    <w:rsid w:val="78AD0D21"/>
    <w:rsid w:val="78B73B4F"/>
    <w:rsid w:val="78B934ED"/>
    <w:rsid w:val="78C37C8A"/>
    <w:rsid w:val="78DE2D7C"/>
    <w:rsid w:val="790904AC"/>
    <w:rsid w:val="7922596C"/>
    <w:rsid w:val="792F01A6"/>
    <w:rsid w:val="79382965"/>
    <w:rsid w:val="794C1894"/>
    <w:rsid w:val="795161CA"/>
    <w:rsid w:val="79820F11"/>
    <w:rsid w:val="79A81252"/>
    <w:rsid w:val="79AC037E"/>
    <w:rsid w:val="79B4594A"/>
    <w:rsid w:val="79B978EA"/>
    <w:rsid w:val="79BA0342"/>
    <w:rsid w:val="79BC708D"/>
    <w:rsid w:val="79EB1C7D"/>
    <w:rsid w:val="7A1B476E"/>
    <w:rsid w:val="7A50702E"/>
    <w:rsid w:val="7A9722EA"/>
    <w:rsid w:val="7AA274F5"/>
    <w:rsid w:val="7AF27BF0"/>
    <w:rsid w:val="7B1A6AB5"/>
    <w:rsid w:val="7B327BB5"/>
    <w:rsid w:val="7B33563C"/>
    <w:rsid w:val="7B4C0E94"/>
    <w:rsid w:val="7B4F7146"/>
    <w:rsid w:val="7B5737ED"/>
    <w:rsid w:val="7B594633"/>
    <w:rsid w:val="7B683895"/>
    <w:rsid w:val="7B763FD0"/>
    <w:rsid w:val="7B8D6D12"/>
    <w:rsid w:val="7B9147B3"/>
    <w:rsid w:val="7BAC1017"/>
    <w:rsid w:val="7BC33FAD"/>
    <w:rsid w:val="7BC5015F"/>
    <w:rsid w:val="7BDB40C8"/>
    <w:rsid w:val="7BDE5028"/>
    <w:rsid w:val="7BFC639E"/>
    <w:rsid w:val="7C1060A4"/>
    <w:rsid w:val="7C212B16"/>
    <w:rsid w:val="7C344D27"/>
    <w:rsid w:val="7C361FB4"/>
    <w:rsid w:val="7C6034EF"/>
    <w:rsid w:val="7C8F3841"/>
    <w:rsid w:val="7C927737"/>
    <w:rsid w:val="7CE055BA"/>
    <w:rsid w:val="7CEF1DCF"/>
    <w:rsid w:val="7CFC1051"/>
    <w:rsid w:val="7D116CC8"/>
    <w:rsid w:val="7D15058B"/>
    <w:rsid w:val="7D157DA1"/>
    <w:rsid w:val="7D213138"/>
    <w:rsid w:val="7D2521B2"/>
    <w:rsid w:val="7D317598"/>
    <w:rsid w:val="7D3230DC"/>
    <w:rsid w:val="7D4D08D5"/>
    <w:rsid w:val="7D551F58"/>
    <w:rsid w:val="7D6A282B"/>
    <w:rsid w:val="7D6B68D8"/>
    <w:rsid w:val="7DAD7ECE"/>
    <w:rsid w:val="7DB87D47"/>
    <w:rsid w:val="7DF04831"/>
    <w:rsid w:val="7DF22A1C"/>
    <w:rsid w:val="7E0E1134"/>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12412"/>
    <w:rsid w:val="7F13011A"/>
    <w:rsid w:val="7F5456A0"/>
    <w:rsid w:val="7F5A396B"/>
    <w:rsid w:val="7F5C0130"/>
    <w:rsid w:val="7F79289E"/>
    <w:rsid w:val="7F8F1F7C"/>
    <w:rsid w:val="7FA8445B"/>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eastAsia="宋体"/>
      <w:sz w:val="21"/>
    </w:rPr>
  </w:style>
  <w:style w:type="paragraph" w:styleId="3">
    <w:name w:val="Body Text"/>
    <w:basedOn w:val="1"/>
    <w:link w:val="116"/>
    <w:qFormat/>
    <w:uiPriority w:val="0"/>
    <w:pPr>
      <w:jc w:val="center"/>
    </w:pPr>
    <w:rPr>
      <w:rFonts w:eastAsia="幼圆"/>
      <w:b/>
      <w:bCs/>
      <w:sz w:val="4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annotation text"/>
    <w:basedOn w:val="1"/>
    <w:link w:val="109"/>
    <w:qFormat/>
    <w:uiPriority w:val="99"/>
    <w:pPr>
      <w:jc w:val="left"/>
    </w:pPr>
  </w:style>
  <w:style w:type="paragraph" w:styleId="19">
    <w:name w:val="index 6"/>
    <w:next w:val="1"/>
    <w:qFormat/>
    <w:uiPriority w:val="0"/>
    <w:pPr>
      <w:widowControl w:val="0"/>
      <w:spacing w:line="360" w:lineRule="auto"/>
      <w:ind w:left="1000" w:leftChars="1000"/>
      <w:jc w:val="both"/>
    </w:pPr>
    <w:rPr>
      <w:rFonts w:ascii="Times New Roman" w:hAnsi="Times New Roman" w:eastAsia="宋体" w:cs="Times New Roman"/>
      <w:kern w:val="2"/>
      <w:sz w:val="21"/>
      <w:lang w:val="en-US" w:eastAsia="zh-CN" w:bidi="ar-SA"/>
    </w:rPr>
  </w:style>
  <w:style w:type="paragraph" w:styleId="20">
    <w:name w:val="Body Text 3"/>
    <w:basedOn w:val="1"/>
    <w:link w:val="128"/>
    <w:qFormat/>
    <w:uiPriority w:val="0"/>
    <w:rPr>
      <w:rFonts w:ascii="宋体"/>
      <w:sz w:val="24"/>
      <w:szCs w:val="20"/>
    </w:rPr>
  </w:style>
  <w:style w:type="paragraph" w:styleId="21">
    <w:name w:val="Body Text Indent"/>
    <w:basedOn w:val="1"/>
    <w:link w:val="72"/>
    <w:qFormat/>
    <w:uiPriority w:val="0"/>
    <w:pPr>
      <w:spacing w:after="120"/>
      <w:ind w:left="420" w:leftChars="200"/>
    </w:p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8"/>
    <w:qFormat/>
    <w:uiPriority w:val="0"/>
    <w:rPr>
      <w:rFonts w:ascii="Ari"/>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6"/>
    <w:unhideWhenUsed/>
    <w:qFormat/>
    <w:uiPriority w:val="0"/>
  </w:style>
  <w:style w:type="paragraph" w:styleId="28">
    <w:name w:val="Body Text Indent 2"/>
    <w:basedOn w:val="1"/>
    <w:link w:val="108"/>
    <w:unhideWhenUsed/>
    <w:qFormat/>
    <w:uiPriority w:val="99"/>
    <w:pPr>
      <w:spacing w:line="420" w:lineRule="exact"/>
      <w:ind w:firstLine="525"/>
    </w:pPr>
    <w:rPr>
      <w:rFonts w:ascii="宋体"/>
      <w:kern w:val="0"/>
      <w:sz w:val="20"/>
      <w:szCs w:val="20"/>
    </w:rPr>
  </w:style>
  <w:style w:type="paragraph" w:styleId="29">
    <w:name w:val="Balloon Text"/>
    <w:basedOn w:val="1"/>
    <w:link w:val="131"/>
    <w:qFormat/>
    <w:uiPriority w:val="0"/>
    <w:rPr>
      <w:sz w:val="18"/>
      <w:szCs w:val="18"/>
    </w:rPr>
  </w:style>
  <w:style w:type="paragraph" w:styleId="30">
    <w:name w:val="footer"/>
    <w:basedOn w:val="1"/>
    <w:link w:val="121"/>
    <w:qFormat/>
    <w:uiPriority w:val="99"/>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29"/>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qFormat/>
    <w:uiPriority w:val="0"/>
    <w:pPr>
      <w:tabs>
        <w:tab w:val="left" w:pos="1995"/>
      </w:tabs>
      <w:snapToGrid w:val="0"/>
      <w:spacing w:line="440" w:lineRule="atLeast"/>
    </w:pPr>
    <w:rPr>
      <w:rFonts w:ascii="Times New Roman" w:hAnsi="Times New Roman" w:cs="Times New Roman"/>
      <w:color w:val="00000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19"/>
    <w:qFormat/>
    <w:uiPriority w:val="0"/>
    <w:rPr>
      <w:b/>
      <w:bCs/>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cs="Times New Roman"/>
      <w:b/>
    </w:rPr>
  </w:style>
  <w:style w:type="character" w:styleId="49">
    <w:name w:val="page number"/>
    <w:qFormat/>
    <w:uiPriority w:val="0"/>
    <w:rPr>
      <w:rFonts w:eastAsia="宋体"/>
      <w:b/>
      <w:spacing w:val="0"/>
      <w:kern w:val="2"/>
      <w:sz w:val="24"/>
      <w:szCs w:val="24"/>
      <w:vertAlign w:val="baseline"/>
      <w:lang w:val="en-US" w:eastAsia="zh-CN" w:bidi="ar-SA"/>
    </w:rPr>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color w:val="008000"/>
    </w:rPr>
  </w:style>
  <w:style w:type="paragraph" w:customStyle="1" w:styleId="55">
    <w:name w:val="列表段落1"/>
    <w:basedOn w:val="1"/>
    <w:qFormat/>
    <w:uiPriority w:val="99"/>
    <w:pPr>
      <w:ind w:firstLine="420" w:firstLineChars="200"/>
    </w:pPr>
    <w:rPr>
      <w:rFonts w:ascii="Times New Roman" w:hAnsi="Times New Roman" w:eastAsia="宋体" w:cs="Times New Roman"/>
      <w:szCs w:val="20"/>
    </w:rPr>
  </w:style>
  <w:style w:type="paragraph" w:customStyle="1" w:styleId="56">
    <w:name w:val="列出段落1"/>
    <w:basedOn w:val="1"/>
    <w:qFormat/>
    <w:uiPriority w:val="99"/>
    <w:pPr>
      <w:widowControl/>
      <w:ind w:left="720"/>
      <w:contextualSpacing/>
      <w:jc w:val="left"/>
    </w:pPr>
    <w:rPr>
      <w:rFonts w:ascii="Arial" w:hAnsi="Arial" w:eastAsia="黑体"/>
      <w:kern w:val="0"/>
      <w:sz w:val="24"/>
      <w:lang w:eastAsia="en-US"/>
    </w:rPr>
  </w:style>
  <w:style w:type="character" w:customStyle="1" w:styleId="57">
    <w:name w:val="标题 2 Char"/>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Char"/>
    <w:link w:val="21"/>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Char"/>
    <w:link w:val="31"/>
    <w:qFormat/>
    <w:uiPriority w:val="0"/>
    <w:rPr>
      <w:kern w:val="2"/>
      <w:sz w:val="18"/>
      <w:szCs w:val="18"/>
    </w:rPr>
  </w:style>
  <w:style w:type="character" w:customStyle="1" w:styleId="77">
    <w:name w:val="标题 6 Char"/>
    <w:link w:val="9"/>
    <w:qFormat/>
    <w:uiPriority w:val="0"/>
    <w:rPr>
      <w:rFonts w:ascii="Cambria" w:hAnsi="Cambria" w:eastAsia="宋体" w:cs="Times New Roman"/>
      <w:b/>
      <w:bCs/>
      <w:kern w:val="2"/>
      <w:sz w:val="24"/>
      <w:szCs w:val="24"/>
    </w:rPr>
  </w:style>
  <w:style w:type="character" w:customStyle="1" w:styleId="78">
    <w:name w:val="纯文本 Char"/>
    <w:link w:val="25"/>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Char"/>
    <w:link w:val="43"/>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Char"/>
    <w:link w:val="17"/>
    <w:qFormat/>
    <w:uiPriority w:val="0"/>
    <w:rPr>
      <w:rFonts w:ascii="宋体"/>
      <w:kern w:val="2"/>
      <w:sz w:val="18"/>
      <w:szCs w:val="18"/>
    </w:rPr>
  </w:style>
  <w:style w:type="character" w:customStyle="1" w:styleId="86">
    <w:name w:val="日期 Char"/>
    <w:link w:val="27"/>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Char"/>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Char"/>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Char"/>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Char"/>
    <w:link w:val="34"/>
    <w:qFormat/>
    <w:uiPriority w:val="0"/>
    <w:rPr>
      <w:rFonts w:ascii="Cambria" w:hAnsi="Cambria"/>
      <w:b/>
      <w:bCs/>
      <w:kern w:val="28"/>
      <w:sz w:val="32"/>
      <w:szCs w:val="32"/>
    </w:rPr>
  </w:style>
  <w:style w:type="character" w:customStyle="1" w:styleId="105">
    <w:name w:val="bookmark"/>
    <w:basedOn w:val="47"/>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Char"/>
    <w:link w:val="28"/>
    <w:qFormat/>
    <w:uiPriority w:val="99"/>
    <w:rPr>
      <w:rFonts w:ascii="宋体"/>
    </w:rPr>
  </w:style>
  <w:style w:type="character" w:customStyle="1" w:styleId="109">
    <w:name w:val="批注文字 Char"/>
    <w:link w:val="18"/>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Char"/>
    <w:link w:val="3"/>
    <w:qFormat/>
    <w:uiPriority w:val="0"/>
    <w:rPr>
      <w:rFonts w:eastAsia="幼圆"/>
      <w:b/>
      <w:bCs/>
      <w:kern w:val="2"/>
      <w:sz w:val="44"/>
      <w:szCs w:val="24"/>
    </w:rPr>
  </w:style>
  <w:style w:type="character" w:customStyle="1" w:styleId="117">
    <w:name w:val="标题 8 Char"/>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Char"/>
    <w:link w:val="44"/>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Char"/>
    <w:link w:val="30"/>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2"/>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Char"/>
    <w:link w:val="20"/>
    <w:qFormat/>
    <w:uiPriority w:val="0"/>
    <w:rPr>
      <w:rFonts w:ascii="宋体"/>
      <w:kern w:val="2"/>
      <w:sz w:val="24"/>
    </w:rPr>
  </w:style>
  <w:style w:type="character" w:customStyle="1" w:styleId="129">
    <w:name w:val="正文文本缩进 3 Char"/>
    <w:link w:val="36"/>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Char"/>
    <w:link w:val="29"/>
    <w:qFormat/>
    <w:uiPriority w:val="0"/>
    <w:rPr>
      <w:kern w:val="2"/>
      <w:sz w:val="18"/>
      <w:szCs w:val="18"/>
    </w:rPr>
  </w:style>
  <w:style w:type="character" w:customStyle="1" w:styleId="132">
    <w:name w:val="标题 7 Char"/>
    <w:link w:val="10"/>
    <w:qFormat/>
    <w:uiPriority w:val="0"/>
    <w:rPr>
      <w:b/>
      <w:bCs/>
      <w:kern w:val="2"/>
      <w:sz w:val="24"/>
      <w:szCs w:val="24"/>
    </w:rPr>
  </w:style>
  <w:style w:type="character" w:customStyle="1" w:styleId="133">
    <w:name w:val="标题 1 Char1"/>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Char"/>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1">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2">
    <w:name w:val="目录 5_0"/>
    <w:basedOn w:val="62"/>
    <w:next w:val="62"/>
    <w:qFormat/>
    <w:uiPriority w:val="39"/>
    <w:pPr>
      <w:ind w:left="1680" w:leftChars="800"/>
    </w:pPr>
    <w:rPr>
      <w:rFonts w:ascii="Calibri" w:hAnsi="Calibri"/>
    </w:rPr>
  </w:style>
  <w:style w:type="paragraph" w:customStyle="1" w:styleId="153">
    <w:name w:val="修订1"/>
    <w:qFormat/>
    <w:uiPriority w:val="0"/>
    <w:rPr>
      <w:rFonts w:ascii="Times New Roman" w:hAnsi="Times New Roman" w:eastAsia="宋体" w:cs="Times New Roman"/>
      <w:kern w:val="2"/>
      <w:sz w:val="21"/>
      <w:szCs w:val="24"/>
      <w:lang w:val="en-US" w:eastAsia="zh-CN" w:bidi="ar-SA"/>
    </w:rPr>
  </w:style>
  <w:style w:type="paragraph" w:customStyle="1" w:styleId="154">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5">
    <w:name w:val="正文 + 行距: 固定值 20 磅"/>
    <w:basedOn w:val="1"/>
    <w:qFormat/>
    <w:uiPriority w:val="0"/>
    <w:pPr>
      <w:spacing w:line="400" w:lineRule="exact"/>
      <w:ind w:firstLine="716" w:firstLineChars="341"/>
    </w:pPr>
    <w:rPr>
      <w:rFonts w:ascii="Calibri" w:hAnsi="Calibri"/>
      <w:szCs w:val="22"/>
    </w:rPr>
  </w:style>
  <w:style w:type="paragraph" w:customStyle="1" w:styleId="156">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7">
    <w:name w:val="表格文字"/>
    <w:basedOn w:val="1"/>
    <w:link w:val="188"/>
    <w:qFormat/>
    <w:uiPriority w:val="0"/>
    <w:pPr>
      <w:adjustRightInd w:val="0"/>
      <w:spacing w:line="420" w:lineRule="atLeast"/>
      <w:jc w:val="left"/>
      <w:textAlignment w:val="baseline"/>
    </w:pPr>
    <w:rPr>
      <w:rFonts w:ascii="Calibri" w:hAnsi="Calibri"/>
      <w:kern w:val="0"/>
      <w:szCs w:val="22"/>
    </w:rPr>
  </w:style>
  <w:style w:type="paragraph" w:customStyle="1" w:styleId="15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9">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0">
    <w:name w:val="表格"/>
    <w:basedOn w:val="1"/>
    <w:qFormat/>
    <w:uiPriority w:val="0"/>
    <w:pPr>
      <w:jc w:val="center"/>
      <w:textAlignment w:val="center"/>
    </w:pPr>
    <w:rPr>
      <w:rFonts w:ascii="华文细黑" w:hAnsi="华文细黑"/>
      <w:kern w:val="0"/>
      <w:szCs w:val="22"/>
    </w:rPr>
  </w:style>
  <w:style w:type="paragraph" w:customStyle="1" w:styleId="1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列出段落2"/>
    <w:basedOn w:val="1"/>
    <w:qFormat/>
    <w:uiPriority w:val="99"/>
    <w:pPr>
      <w:ind w:firstLine="420" w:firstLineChars="200"/>
    </w:p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5">
    <w:name w:val="Char Char Char Char Char Char Char"/>
    <w:basedOn w:val="1"/>
    <w:qFormat/>
    <w:uiPriority w:val="0"/>
    <w:pPr>
      <w:adjustRightInd w:val="0"/>
      <w:spacing w:line="360" w:lineRule="auto"/>
    </w:pPr>
    <w:rPr>
      <w:kern w:val="0"/>
      <w:sz w:val="24"/>
      <w:szCs w:val="20"/>
    </w:rPr>
  </w:style>
  <w:style w:type="paragraph" w:customStyle="1" w:styleId="166">
    <w:name w:val="2方案格式2"/>
    <w:basedOn w:val="147"/>
    <w:qFormat/>
    <w:uiPriority w:val="0"/>
    <w:pPr>
      <w:numPr>
        <w:ilvl w:val="1"/>
      </w:numPr>
      <w:spacing w:before="50" w:after="50" w:line="240" w:lineRule="auto"/>
      <w:outlineLvl w:val="1"/>
    </w:pPr>
    <w:rPr>
      <w:sz w:val="44"/>
    </w:rPr>
  </w:style>
  <w:style w:type="paragraph" w:customStyle="1" w:styleId="1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目录 4_0"/>
    <w:basedOn w:val="62"/>
    <w:next w:val="62"/>
    <w:qFormat/>
    <w:uiPriority w:val="39"/>
    <w:pPr>
      <w:ind w:left="1260" w:leftChars="600"/>
    </w:pPr>
    <w:rPr>
      <w:rFonts w:ascii="Calibri" w:hAnsi="Calibri"/>
    </w:rPr>
  </w:style>
  <w:style w:type="paragraph" w:customStyle="1" w:styleId="171">
    <w:name w:val="目录 3_0"/>
    <w:basedOn w:val="62"/>
    <w:next w:val="62"/>
    <w:qFormat/>
    <w:uiPriority w:val="39"/>
    <w:pPr>
      <w:ind w:left="840" w:leftChars="400"/>
    </w:pPr>
    <w:rPr>
      <w:rFonts w:ascii="Calibri" w:hAnsi="Calibri"/>
    </w:rPr>
  </w:style>
  <w:style w:type="paragraph" w:customStyle="1" w:styleId="172">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3">
    <w:name w:val="1"/>
    <w:basedOn w:val="1"/>
    <w:next w:val="1"/>
    <w:qFormat/>
    <w:uiPriority w:val="0"/>
    <w:rPr>
      <w:rFonts w:ascii="Calibri" w:hAnsi="Calibri"/>
      <w:szCs w:val="22"/>
    </w:rPr>
  </w:style>
  <w:style w:type="paragraph" w:customStyle="1" w:styleId="174">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5">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6">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7">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0"/>
    <w:basedOn w:val="1"/>
    <w:qFormat/>
    <w:uiPriority w:val="0"/>
    <w:pPr>
      <w:widowControl/>
    </w:pPr>
    <w:rPr>
      <w:b/>
      <w:bCs/>
      <w:kern w:val="0"/>
      <w:sz w:val="24"/>
    </w:rPr>
  </w:style>
  <w:style w:type="paragraph" w:customStyle="1" w:styleId="179">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0">
    <w:name w:val="3方案格式3"/>
    <w:basedOn w:val="166"/>
    <w:qFormat/>
    <w:uiPriority w:val="0"/>
    <w:pPr>
      <w:numPr>
        <w:ilvl w:val="2"/>
      </w:numPr>
      <w:outlineLvl w:val="2"/>
    </w:pPr>
    <w:rPr>
      <w:sz w:val="32"/>
    </w:rPr>
  </w:style>
  <w:style w:type="paragraph" w:customStyle="1" w:styleId="181">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2">
    <w:name w:val="标题2"/>
    <w:basedOn w:val="5"/>
    <w:next w:val="3"/>
    <w:qFormat/>
    <w:uiPriority w:val="0"/>
    <w:pPr>
      <w:spacing w:before="156" w:after="156" w:line="360" w:lineRule="auto"/>
    </w:pPr>
    <w:rPr>
      <w:bCs w:val="0"/>
      <w:sz w:val="24"/>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正文11"/>
    <w:qFormat/>
    <w:uiPriority w:val="0"/>
    <w:rPr>
      <w:rFonts w:ascii="Calibri" w:hAnsi="Calibri" w:eastAsia="宋体" w:cs="Calibri"/>
      <w:sz w:val="24"/>
      <w:szCs w:val="24"/>
      <w:lang w:val="en-US" w:eastAsia="zh-CN" w:bidi="ar-SA"/>
    </w:rPr>
  </w:style>
  <w:style w:type="paragraph" w:customStyle="1" w:styleId="185">
    <w:name w:val="正文2"/>
    <w:qFormat/>
    <w:uiPriority w:val="0"/>
    <w:rPr>
      <w:rFonts w:ascii="Times New Roman" w:hAnsi="Times New Roman" w:eastAsia="微软雅黑" w:cs="Times New Roman"/>
      <w:sz w:val="24"/>
      <w:szCs w:val="24"/>
      <w:lang w:val="en-US" w:eastAsia="zh-CN" w:bidi="ar-SA"/>
    </w:rPr>
  </w:style>
  <w:style w:type="paragraph" w:customStyle="1" w:styleId="18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7">
    <w:name w:val="纯文本2"/>
    <w:basedOn w:val="1"/>
    <w:qFormat/>
    <w:uiPriority w:val="0"/>
    <w:pPr>
      <w:jc w:val="left"/>
    </w:pPr>
    <w:rPr>
      <w:rFonts w:hint="eastAsia" w:ascii="宋体" w:hAnsi="宋体" w:cs="Courier New"/>
      <w:kern w:val="1"/>
      <w:sz w:val="24"/>
      <w:szCs w:val="20"/>
      <w:lang w:bidi="hi-IN"/>
    </w:rPr>
  </w:style>
  <w:style w:type="character" w:customStyle="1" w:styleId="188">
    <w:name w:val="表格文字 字符"/>
    <w:link w:val="157"/>
    <w:qFormat/>
    <w:uiPriority w:val="0"/>
    <w:rPr>
      <w:rFonts w:ascii="Calibri" w:hAnsi="Calibri" w:eastAsia="宋体" w:cs="Times New Roman"/>
      <w:sz w:val="21"/>
      <w:szCs w:val="22"/>
    </w:rPr>
  </w:style>
  <w:style w:type="paragraph" w:styleId="189">
    <w:name w:val="List Paragraph"/>
    <w:basedOn w:val="1"/>
    <w:qFormat/>
    <w:uiPriority w:val="99"/>
    <w:pPr>
      <w:ind w:firstLine="420" w:firstLineChars="200"/>
    </w:p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Table Text"/>
    <w:basedOn w:val="1"/>
    <w:semiHidden/>
    <w:qFormat/>
    <w:uiPriority w:val="0"/>
    <w:rPr>
      <w:rFonts w:ascii="宋体" w:hAnsi="宋体" w:cs="宋体"/>
    </w:rPr>
  </w:style>
  <w:style w:type="table" w:customStyle="1" w:styleId="192">
    <w:name w:val="Table Normal"/>
    <w:semiHidden/>
    <w:unhideWhenUsed/>
    <w:qFormat/>
    <w:uiPriority w:val="0"/>
    <w:tblPr>
      <w:tblCellMar>
        <w:top w:w="0" w:type="dxa"/>
        <w:left w:w="0" w:type="dxa"/>
        <w:bottom w:w="0" w:type="dxa"/>
        <w:right w:w="0" w:type="dxa"/>
      </w:tblCellMar>
    </w:tblPr>
  </w:style>
  <w:style w:type="paragraph" w:customStyle="1" w:styleId="193">
    <w:name w:val="_Style 6"/>
    <w:basedOn w:val="4"/>
    <w:next w:val="1"/>
    <w:qFormat/>
    <w:uiPriority w:val="0"/>
    <w:pPr>
      <w:outlineLvl w:val="9"/>
    </w:pPr>
  </w:style>
  <w:style w:type="paragraph" w:customStyle="1" w:styleId="194">
    <w:name w:val="样式 正文缩进 + 首行缩进:  2 字符"/>
    <w:basedOn w:val="15"/>
    <w:qFormat/>
    <w:uiPriority w:val="0"/>
    <w:pPr>
      <w:ind w:firstLine="200"/>
    </w:pPr>
    <w:rPr>
      <w:rFonts w:cs="宋体"/>
      <w:szCs w:val="20"/>
    </w:rPr>
  </w:style>
  <w:style w:type="table" w:customStyle="1" w:styleId="195">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正文_2"/>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列出段落1_0"/>
    <w:basedOn w:val="198"/>
    <w:next w:val="199"/>
    <w:qFormat/>
    <w:uiPriority w:val="0"/>
    <w:pPr>
      <w:ind w:firstLine="420" w:firstLineChars="200"/>
    </w:pPr>
    <w:rPr>
      <w:rFonts w:ascii="Calibri" w:hAnsi="Calibri" w:cs="Calibri"/>
      <w:szCs w:val="21"/>
    </w:rPr>
  </w:style>
  <w:style w:type="paragraph" w:customStyle="1" w:styleId="198">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7_0"/>
    <w:basedOn w:val="196"/>
    <w:next w:val="196"/>
    <w:qFormat/>
    <w:uiPriority w:val="0"/>
    <w:pPr>
      <w:keepNext/>
      <w:keepLines/>
      <w:adjustRightInd w:val="0"/>
      <w:spacing w:before="240" w:after="64" w:line="320" w:lineRule="atLeast"/>
      <w:jc w:val="left"/>
      <w:textAlignment w:val="baseline"/>
      <w:outlineLvl w:val="6"/>
    </w:pPr>
    <w:rPr>
      <w:b/>
      <w:bCs/>
      <w:kern w:val="0"/>
      <w:sz w:val="24"/>
    </w:rPr>
  </w:style>
  <w:style w:type="paragraph" w:customStyle="1" w:styleId="200">
    <w:name w:val="正文文本缩进_0"/>
    <w:basedOn w:val="196"/>
    <w:unhideWhenUsed/>
    <w:qFormat/>
    <w:uiPriority w:val="0"/>
    <w:pPr>
      <w:spacing w:after="120"/>
      <w:ind w:left="420" w:leftChars="200"/>
    </w:pPr>
  </w:style>
  <w:style w:type="paragraph" w:customStyle="1" w:styleId="201">
    <w:name w:val="纯文本_0"/>
    <w:basedOn w:val="196"/>
    <w:unhideWhenUsed/>
    <w:qFormat/>
    <w:uiPriority w:val="0"/>
    <w:rPr>
      <w:rFonts w:ascii="宋体" w:hAnsi="Courier New" w:cs="Courier New"/>
      <w:szCs w:val="21"/>
    </w:rPr>
  </w:style>
  <w:style w:type="paragraph" w:customStyle="1" w:styleId="202">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_0_0_0_0"/>
    <w:next w:val="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文本_1_0"/>
    <w:basedOn w:val="204"/>
    <w:next w:val="20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779B3-89D4-40A1-B0F0-DD514C3559F0}">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55</Pages>
  <Words>23474</Words>
  <Characters>24553</Characters>
  <Lines>149</Lines>
  <Paragraphs>42</Paragraphs>
  <TotalTime>0</TotalTime>
  <ScaleCrop>false</ScaleCrop>
  <LinksUpToDate>false</LinksUpToDate>
  <CharactersWithSpaces>26561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努力努力努力</cp:lastModifiedBy>
  <cp:lastPrinted>2024-06-19T09:49:00Z</cp:lastPrinted>
  <dcterms:modified xsi:type="dcterms:W3CDTF">2025-07-29T08:42:50Z</dcterms:modified>
  <dc:title>公开招标文件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31186FCC87564462A33EB82E8805853E_13</vt:lpwstr>
  </property>
</Properties>
</file>